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9"/>
          <w:rFonts w:hint="eastAsia" w:ascii="黑体" w:hAnsi="黑体" w:eastAsia="黑体" w:cs="宋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  <w:lang w:eastAsia="zh-CN"/>
        </w:rPr>
        <w:t>附件6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  <w:t>江苏高校百校万名团干部思政技能大比武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评审标准</w:t>
      </w: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t>一、主题团课、思政课评审标准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Header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评审要求（共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宣讲主题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主题鲜明，导向正确。能正确运用马克思主义立场、观点和方法，帮助团员解决思想问题，特别是理想、信念、宗旨、作风等方面的问题，形成向上向善的积极导向。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宣讲内容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内容丰富，逻辑清晰。能紧扣团课、思政课主题设计内容，结构严谨，主线明晰，观点准确，内容丰富，衔接顺畅，素材选用得当，有一定的信息量，语言贴合青年特点，能够将政治思想转化为青年语言，符合团课、思政课内容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宣讲形式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形象生动，引人入胜。能紧扣团课、思政课主题和内容设计讲授形式，有较好的讲授技巧，善于将“大道理”转化为团员青年易于接受的“小道理”，口头表达清晰准确流利，仪态端庄大方，表情和肢体语言得体，感情饱满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宣讲效果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目标明确、达到预期。能结合团员青年身心特点，培养团员意识，增强对党、团组织的理解和认同，共鸣感强，宣讲效果好。</w:t>
            </w: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br w:type="page"/>
      </w:r>
      <w:r>
        <w:rPr>
          <w:rFonts w:hint="eastAsia" w:ascii="方正黑体_GBK" w:hAnsi="黑体" w:eastAsia="方正黑体_GBK" w:cs="Century"/>
          <w:sz w:val="32"/>
          <w:szCs w:val="32"/>
        </w:rPr>
        <w:t>二、主题团日活动评审标准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Header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评审要求（共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政治方向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体现政治高度，准确阐释题目的概念与内涵，把“是什么”“为什么”“怎么做”讲清楚、讲明白，能展现高校基层团支部引领青年学生思想，凝聚青春力量的组织价值。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63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宣讲导向（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善于运用历史和现实、国际和国内的对比，紧扣青年学生的心理特点、成长规律、知识结构，有效运用表达方式和传播艺术，引起学生共鸣，有较强说服力。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演讲逻辑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论点论据逻辑严密，条理清晰，能有效融入思想政治教育相关要素。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仪表仪态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举止大方自然，口齿清晰，表达流畅，语言生动形象，感情真挚，感染力较强，能展现高校基层团支部书记</w:t>
            </w:r>
            <w:r>
              <w:rPr>
                <w:rFonts w:ascii="Times New Roman" w:hAnsi="方正仿宋_GBK" w:eastAsia="方正仿宋_GBK"/>
                <w:color w:val="000000"/>
                <w:sz w:val="28"/>
                <w:szCs w:val="28"/>
              </w:rPr>
              <w:t>与中国共产党同行</w:t>
            </w: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方正仿宋_GBK" w:eastAsia="方正仿宋_GBK"/>
                <w:color w:val="000000"/>
                <w:sz w:val="28"/>
                <w:szCs w:val="28"/>
              </w:rPr>
              <w:t>与祖国同行</w:t>
            </w: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方正仿宋_GBK" w:eastAsia="方正仿宋_GBK"/>
                <w:color w:val="000000"/>
                <w:sz w:val="28"/>
                <w:szCs w:val="28"/>
              </w:rPr>
              <w:t>与时代同行</w:t>
            </w: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方正仿宋_GBK" w:eastAsia="方正仿宋_GBK"/>
                <w:color w:val="000000"/>
                <w:sz w:val="28"/>
                <w:szCs w:val="28"/>
              </w:rPr>
              <w:t>与人民同行</w:t>
            </w: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方正仿宋_GBK" w:eastAsia="方正仿宋_GBK"/>
                <w:color w:val="000000"/>
                <w:sz w:val="28"/>
                <w:szCs w:val="28"/>
              </w:rPr>
              <w:t>与梦想同行的价值追求</w:t>
            </w:r>
            <w:r>
              <w:rPr>
                <w:rFonts w:hint="eastAsia" w:ascii="Times New Roman" w:hAnsi="方正仿宋_GBK" w:eastAsia="方正仿宋_GBK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方正黑体_GBK" w:hAnsi="黑体" w:eastAsia="方正黑体_GBK" w:cs="Century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640" w:firstLineChars="200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方正黑体_GBK" w:hAnsi="黑体" w:eastAsia="方正黑体_GBK" w:cs="Century"/>
          <w:sz w:val="32"/>
          <w:szCs w:val="32"/>
        </w:rPr>
        <w:br w:type="page"/>
      </w:r>
      <w:r>
        <w:rPr>
          <w:rFonts w:hint="eastAsia" w:ascii="方正黑体_GBK" w:hAnsi="黑体" w:eastAsia="方正黑体_GBK" w:cs="Century"/>
          <w:sz w:val="32"/>
          <w:szCs w:val="32"/>
        </w:rPr>
        <w:t>三、思政文章评审标准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Header/>
          <w:jc w:val="center"/>
        </w:trPr>
        <w:tc>
          <w:tcPr>
            <w:tcW w:w="163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888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评审要求（共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163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标题深刻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观点鲜明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8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标题立意深刻，集中凝练；观点鲜明新颖，简洁明了。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163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政治方向正确，理论问题阐释精准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8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体现政治高度，准确阐释题目的概念与内涵，善于运用历史逻辑、现实逻辑等阐述逻辑和国内外比较等阐述方法，把“是什么”“为什么”“怎么做”论清楚、讲透彻。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9" w:hRule="atLeast"/>
          <w:jc w:val="center"/>
        </w:trPr>
        <w:tc>
          <w:tcPr>
            <w:tcW w:w="163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把握青年特点，育人效果好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8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紧扣青年学生的心理特点、成长规律、知识结构，有效运用表达方式，引起学生共鸣，有较强说服力。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逻辑清晰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论说有力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针对性强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8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论点论据逻辑严密，条理清晰，能有效融入思想政治教育相关要素。</w:t>
            </w:r>
          </w:p>
        </w:tc>
      </w:tr>
    </w:tbl>
    <w:p>
      <w:pPr>
        <w:spacing w:before="156" w:beforeLines="50" w:after="156" w:afterLines="50" w:line="560" w:lineRule="exact"/>
        <w:rPr>
          <w:rFonts w:hint="eastAsia" w:ascii="方正黑体_GBK" w:hAnsi="黑体" w:eastAsia="方正黑体_GBK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br w:type="page"/>
      </w:r>
      <w:r>
        <w:rPr>
          <w:rFonts w:hint="eastAsia" w:ascii="方正黑体_GBK" w:hAnsi="黑体" w:eastAsia="方正黑体_GBK"/>
          <w:sz w:val="32"/>
          <w:szCs w:val="32"/>
        </w:rPr>
        <w:t>四、工作案例推介评审标准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Header/>
          <w:jc w:val="center"/>
        </w:trPr>
        <w:tc>
          <w:tcPr>
            <w:tcW w:w="1626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88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评审要求（共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626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政治方向正确，主题明确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88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选取工作案例政治立场鲜明正确。围绕“三力一度两保证”，阐述发挥专业特长，参与支持共青团相关工作案例，包括工作思路、开展情况、工作成效、工作启示等。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626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把握青年特点，育人效果好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88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紧扣青年学生的心理特点、成长规律、知识结构，有效运用表达方式，引起学生共鸣，有较强说服力。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逻辑清晰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论说有力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针对性强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推介过程逻辑严密，条理清晰，能有效融入思想政治教育相关要素。能体现思考问题、分析问题、研判问题、解决问题的能力。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形态得体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感染力强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88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举止大方自然、口齿清晰、表达流畅、语言生动形象、感情真挚、感染力强，使听众增强对党团组织的理解和认同，有良好的育人成效。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05777FD"/>
    <w:rsid w:val="605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rFonts w:ascii="Verdana" w:hAnsi="Verdana" w:cs="Times New Roman"/>
      <w:b/>
      <w:bCs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2023-06-05T13:56:00Z</dcterms:created>
  <dc:creator>郑晗月</dc:creator>
  <cp:lastModifiedBy>郑晗月</cp:lastModifiedBy>
  <dcterms:modified xsi:type="dcterms:W3CDTF">2023-06-05T13:58:03Z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19AA0D4A239141BFA8BD9101A85473F4_11</vt:lpwstr>
  </property>
</Properties>
</file>