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EC9E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  <w:t>常州大学怀德学院202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  <w:t>学年“学生标兵”和“先进班集体”名单</w:t>
      </w:r>
    </w:p>
    <w:p w14:paraId="1F403428"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default" w:ascii="仿宋_GB2312" w:hAnsi="Times New Roman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学生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标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兵（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39人）</w:t>
      </w:r>
    </w:p>
    <w:p w14:paraId="15E86E30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计算机 232 周轩同   电  气231 王金娜   自动化221 王祥坤</w:t>
      </w:r>
    </w:p>
    <w:p w14:paraId="70C40FFD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电  子231 苏春秀   软  工232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徐旻彦   电  气234 罗宇露</w:t>
      </w:r>
    </w:p>
    <w:p w14:paraId="37C7C583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电  气231 潘梓雯   电  气231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翁子越   电  气223 王佳尧</w:t>
      </w:r>
    </w:p>
    <w:p w14:paraId="752E6927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环  设222 王铁鹏   视  觉222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孙雪磊   产  设231 边星宇</w:t>
      </w:r>
    </w:p>
    <w:p w14:paraId="7443D7F3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视  觉212 刘  蓓   会  计234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刘佳慧   财  务234 汪宏凯</w:t>
      </w:r>
    </w:p>
    <w:p w14:paraId="73B15ACC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会  计217 詹宁致   财  务221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吴佳芝   会  计214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张玉琴</w:t>
      </w:r>
    </w:p>
    <w:p w14:paraId="5C2CCE20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会  计223 易书婷   财  务232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吴佳珉   机  制212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黎明宇 </w:t>
      </w:r>
    </w:p>
    <w:p w14:paraId="5BE6515B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高分子222 陈梦茹   日  语231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陈泰石   高分子231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陆婷煜    </w:t>
      </w:r>
    </w:p>
    <w:p w14:paraId="736CC55A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高分子232 曹淑芹   机  制221 周  顺   机  制223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潘海凡</w:t>
      </w:r>
    </w:p>
    <w:p w14:paraId="3F075772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环  工222 鲍永豪   工  程232 陈雨玲   土  木221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雷信桦    </w:t>
      </w:r>
    </w:p>
    <w:p w14:paraId="60550085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default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土  木232 韩  青   国  贸233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俞明俐   国  贸221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张灵瑶   </w:t>
      </w:r>
    </w:p>
    <w:p w14:paraId="4B4F17B7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国  贸232 李鸿香   人  力232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蒋珂图   物  流231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周梦圆</w:t>
      </w:r>
    </w:p>
    <w:p w14:paraId="1DEF58F8">
      <w:pPr>
        <w:adjustRightInd w:val="0"/>
        <w:snapToGrid w:val="0"/>
        <w:spacing w:before="156" w:beforeLines="50" w:after="156" w:afterLines="50" w:line="440" w:lineRule="exact"/>
        <w:jc w:val="left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营  销232 芮雨达   电  商231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 xml:space="preserve"> 邓思雨   电  商222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  <w:t>张雅楠</w:t>
      </w:r>
    </w:p>
    <w:p w14:paraId="107B5564"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仿宋_GB2312" w:hAnsi="宋体" w:eastAsia="仿宋_GB2312" w:cs="宋体"/>
          <w:b w:val="0"/>
          <w:bCs w:val="0"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</w:p>
    <w:p w14:paraId="090081D5"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仿宋_GB2312" w:hAnsi="宋体" w:eastAsia="仿宋_GB2312" w:cs="宋体"/>
          <w:b/>
          <w:bCs/>
          <w:color w:val="auto"/>
          <w:w w:val="80"/>
          <w:kern w:val="2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w w:val="80"/>
          <w:kern w:val="20"/>
          <w:sz w:val="36"/>
          <w:szCs w:val="36"/>
          <w:highlight w:val="none"/>
          <w:lang w:val="en-US" w:eastAsia="zh-CN"/>
        </w:rPr>
        <w:t>先进班集体（48个）</w:t>
      </w:r>
    </w:p>
    <w:p w14:paraId="3A343806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自动化232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子221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子222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气231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30168FD0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气234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计算机231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计算机232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子231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640DC096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工232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气223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觉221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设221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28B009A7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产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设231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觉222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觉231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财  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743B7382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财  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财  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财  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会  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217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3FB6A654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会  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会  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会  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224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会  计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5B20FB55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高分子222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机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制221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高分子231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给  水222   </w:t>
      </w:r>
    </w:p>
    <w:p w14:paraId="2C6E14D7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给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水231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工221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工231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木221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 w14:paraId="14B524DB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木222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木231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土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木232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销232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42757435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销231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营  销221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力232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物  流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7F2E1FEF"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  商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国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贸232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国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贸233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电  商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 w14:paraId="12030416">
      <w:pPr>
        <w:adjustRightInd w:val="0"/>
        <w:snapToGrid w:val="0"/>
        <w:spacing w:line="440" w:lineRule="exact"/>
        <w:contextualSpacing/>
        <w:jc w:val="both"/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语221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语231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语23</w:t>
      </w:r>
      <w:bookmarkStart w:id="0" w:name="_GoBack"/>
      <w:bookmarkEnd w:id="0"/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力221</w:t>
      </w:r>
    </w:p>
    <w:sectPr>
      <w:pgSz w:w="11906" w:h="16838"/>
      <w:pgMar w:top="1440" w:right="174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172A27"/>
    <w:rsid w:val="013A4332"/>
    <w:rsid w:val="03B10E7E"/>
    <w:rsid w:val="045521C0"/>
    <w:rsid w:val="0B904DDD"/>
    <w:rsid w:val="0DF80769"/>
    <w:rsid w:val="0F3A1D04"/>
    <w:rsid w:val="10920F33"/>
    <w:rsid w:val="11F90C0D"/>
    <w:rsid w:val="21110DC5"/>
    <w:rsid w:val="272479A6"/>
    <w:rsid w:val="2E920340"/>
    <w:rsid w:val="316E496E"/>
    <w:rsid w:val="3215447D"/>
    <w:rsid w:val="33C17F75"/>
    <w:rsid w:val="36E83F1F"/>
    <w:rsid w:val="3CB6689C"/>
    <w:rsid w:val="416E50C4"/>
    <w:rsid w:val="462E7EB9"/>
    <w:rsid w:val="4A67603D"/>
    <w:rsid w:val="4A7D2EA4"/>
    <w:rsid w:val="592D0F2E"/>
    <w:rsid w:val="5ABC4BA5"/>
    <w:rsid w:val="651554CE"/>
    <w:rsid w:val="65497819"/>
    <w:rsid w:val="72B760ED"/>
    <w:rsid w:val="78FF6FF6"/>
    <w:rsid w:val="7BB51C2B"/>
    <w:rsid w:val="7CB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664</Characters>
  <Lines>0</Lines>
  <Paragraphs>0</Paragraphs>
  <TotalTime>6</TotalTime>
  <ScaleCrop>false</ScaleCrop>
  <LinksUpToDate>false</LinksUpToDate>
  <CharactersWithSpaces>1086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2023-11-23T02:53:00Z</dcterms:created>
  <dc:creator>Administrator</dc:creator>
  <cp:lastModifiedBy>女乔</cp:lastModifiedBy>
  <cp:lastPrinted>2023-12-01T02:25:00Z</cp:lastPrinted>
  <dcterms:modified xsi:type="dcterms:W3CDTF">2024-12-10T02:31:16Z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28627C6849A24092B0C0ECD8FCFDDE85_13</vt:lpwstr>
  </property>
</Properties>
</file>