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rPr>
          <w:rFonts w:ascii="黑体" w:hAnsi="黑体" w:eastAsia="黑体"/>
          <w:bCs/>
          <w:sz w:val="18"/>
          <w:szCs w:val="18"/>
        </w:rPr>
      </w:pPr>
    </w:p>
    <w:p>
      <w:pPr>
        <w:jc w:val="center"/>
        <w:rPr>
          <w:rFonts w:ascii="方正小标宋_GBK" w:hAnsi="宋体" w:eastAsia="方正小标宋_GBK"/>
          <w:sz w:val="44"/>
          <w:szCs w:val="44"/>
        </w:rPr>
      </w:pPr>
      <w:r>
        <w:rPr>
          <w:rFonts w:ascii="方正小标宋_GBK" w:hAnsi="宋体" w:eastAsia="方正小标宋_GBK"/>
          <w:sz w:val="44"/>
          <w:szCs w:val="44"/>
        </w:rPr>
        <w:t>202</w:t>
      </w:r>
      <w:r>
        <w:rPr>
          <w:rFonts w:hint="eastAsia" w:ascii="方正小标宋_GBK" w:hAnsi="宋体" w:eastAsia="方正小标宋_GBK"/>
          <w:sz w:val="44"/>
          <w:szCs w:val="44"/>
        </w:rPr>
        <w:t>2年度泰州市科协软课题选题指南</w:t>
      </w:r>
    </w:p>
    <w:p>
      <w:pPr>
        <w:overflowPunct w:val="0"/>
        <w:topLinePunct/>
        <w:adjustRightInd w:val="0"/>
        <w:snapToGrid w:val="0"/>
        <w:spacing w:line="560" w:lineRule="exact"/>
        <w:ind w:firstLine="640" w:firstLineChars="200"/>
        <w:rPr>
          <w:rFonts w:ascii="黑体" w:hAnsi="黑体" w:eastAsia="黑体"/>
          <w:sz w:val="32"/>
          <w:szCs w:val="32"/>
        </w:rPr>
      </w:pPr>
    </w:p>
    <w:p>
      <w:pPr>
        <w:overflowPunct w:val="0"/>
        <w:topLinePunct/>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1.泰州海外高层次创新人才引进机制研究</w:t>
      </w:r>
    </w:p>
    <w:p>
      <w:pPr>
        <w:overflowPunct w:val="0"/>
        <w:topLinePunct/>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2.多元化投入促进重大科技成果转化机制研究</w:t>
      </w:r>
    </w:p>
    <w:p>
      <w:pPr>
        <w:overflowPunct w:val="0"/>
        <w:topLinePunct/>
        <w:adjustRightInd w:val="0"/>
        <w:snapToGrid w:val="0"/>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3.泰州创新型产业集群培育机制研究</w:t>
      </w:r>
    </w:p>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4.科技支撑“双碳”目标实现的战略研究</w:t>
      </w:r>
    </w:p>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5.科技创新支撑乡村振兴战略的实践研究</w:t>
      </w:r>
    </w:p>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6.科技创新支撑共同富裕的路径研究</w:t>
      </w:r>
    </w:p>
    <w:p>
      <w:pPr>
        <w:overflowPunct w:val="0"/>
        <w:topLinePunct/>
        <w:adjustRightInd w:val="0"/>
        <w:snapToGrid w:val="0"/>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7.新一代信息技术与医疗健康融合发展研究</w:t>
      </w:r>
    </w:p>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8.新技术在中医药领域中的应用研究</w:t>
      </w:r>
    </w:p>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9.大数据背景下智慧康养产业发展研究</w:t>
      </w:r>
    </w:p>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10.面向基层一线科技工作者状况调查的方式方法创新研究</w:t>
      </w:r>
    </w:p>
    <w:p>
      <w:pPr>
        <w:overflowPunct w:val="0"/>
        <w:topLinePunct/>
        <w:adjustRightInd w:val="0"/>
        <w:snapToGrid w:val="0"/>
        <w:spacing w:line="560" w:lineRule="exact"/>
        <w:ind w:firstLine="640" w:firstLineChars="200"/>
        <w:rPr>
          <w:rFonts w:ascii="仿宋_GB2312" w:eastAsia="仿宋_GB2312"/>
          <w:sz w:val="32"/>
          <w:szCs w:val="32"/>
        </w:rPr>
      </w:pPr>
      <w:bookmarkStart w:id="0" w:name="_Toc43202574"/>
      <w:bookmarkStart w:id="1" w:name="_Toc43202601"/>
      <w:r>
        <w:rPr>
          <w:rFonts w:hint="eastAsia" w:ascii="仿宋_GB2312" w:eastAsia="仿宋_GB2312"/>
          <w:sz w:val="32"/>
          <w:szCs w:val="32"/>
        </w:rPr>
        <w:t>11.农民科学素质提升对策研究</w:t>
      </w:r>
    </w:p>
    <w:bookmarkEnd w:id="0"/>
    <w:bookmarkEnd w:id="1"/>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12.科协组织服务科技经济融合发展的模式机制研究</w:t>
      </w:r>
    </w:p>
    <w:p>
      <w:pPr>
        <w:overflowPunct w:val="0"/>
        <w:topLinePunct/>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13.新形势下推进科协系统资源融合共享的对策机制研究</w:t>
      </w:r>
    </w:p>
    <w:p>
      <w:pPr>
        <w:overflowPunct w:val="0"/>
        <w:topLinePunct/>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14.“能耗双控”背景下企业节能降耗对策研究</w:t>
      </w:r>
    </w:p>
    <w:p>
      <w:pPr>
        <w:overflowPunct w:val="0"/>
        <w:topLinePunct/>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15.“双碳”背景下泰州绿色转型升级路径研究</w:t>
      </w:r>
    </w:p>
    <w:p>
      <w:pPr>
        <w:overflowPunct w:val="0"/>
        <w:topLinePunct/>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16.“双减”背景下青少年科学教育现状调查研究</w:t>
      </w:r>
    </w:p>
    <w:p>
      <w:pPr>
        <w:overflowPunct w:val="0"/>
        <w:topLinePunct/>
        <w:adjustRightInd w:val="0"/>
        <w:snapToGrid w:val="0"/>
        <w:spacing w:line="560" w:lineRule="exact"/>
        <w:ind w:firstLine="640" w:firstLineChars="200"/>
        <w:rPr>
          <w:rFonts w:ascii="仿宋_GB2312" w:eastAsia="仿宋_GB2312" w:cs="黑体"/>
          <w:kern w:val="0"/>
          <w:sz w:val="32"/>
          <w:szCs w:val="32"/>
        </w:rPr>
      </w:pPr>
      <w:r>
        <w:rPr>
          <w:rFonts w:hint="eastAsia" w:ascii="仿宋_GB2312" w:eastAsia="仿宋_GB2312"/>
          <w:kern w:val="0"/>
          <w:sz w:val="32"/>
          <w:szCs w:val="32"/>
        </w:rPr>
        <w:t>17.</w:t>
      </w:r>
      <w:r>
        <w:rPr>
          <w:rFonts w:hint="eastAsia" w:ascii="仿宋_GB2312" w:eastAsia="仿宋_GB2312" w:cs="黑体"/>
          <w:kern w:val="0"/>
          <w:sz w:val="32"/>
          <w:szCs w:val="32"/>
        </w:rPr>
        <w:t>新时代应用型本科院校服务地方经济社会发展路径研究</w:t>
      </w:r>
    </w:p>
    <w:p>
      <w:pPr>
        <w:overflowPunct w:val="0"/>
        <w:topLinePunct/>
        <w:adjustRightInd w:val="0"/>
        <w:snapToGrid w:val="0"/>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18.</w:t>
      </w:r>
      <w:r>
        <w:rPr>
          <w:rFonts w:hint="eastAsia" w:ascii="仿宋_GB2312" w:hAnsi="Times New Roman" w:eastAsia="仿宋_GB2312"/>
          <w:sz w:val="32"/>
          <w:szCs w:val="32"/>
        </w:rPr>
        <w:t>人工智能和大数据助力泰州市高性能医疗器械产业化发展路径及对策研究</w:t>
      </w:r>
    </w:p>
    <w:p>
      <w:pPr>
        <w:overflowPunct w:val="0"/>
        <w:topLinePunct/>
        <w:adjustRightInd w:val="0"/>
        <w:snapToGri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19.泰州装备制造业智能化转型升级路径及对策研究</w:t>
      </w:r>
    </w:p>
    <w:p>
      <w:pPr>
        <w:overflowPunct w:val="0"/>
        <w:topLinePunct/>
        <w:adjustRightInd w:val="0"/>
        <w:snapToGrid w:val="0"/>
        <w:spacing w:line="560" w:lineRule="exact"/>
        <w:ind w:firstLine="640" w:firstLineChars="200"/>
        <w:rPr>
          <w:rFonts w:ascii="仿宋_GB2312" w:eastAsia="仿宋_GB2312"/>
          <w:sz w:val="32"/>
          <w:szCs w:val="32"/>
        </w:rPr>
        <w:sectPr>
          <w:footerReference r:id="rId4" w:type="first"/>
          <w:footerReference r:id="rId3" w:type="default"/>
          <w:pgSz w:w="11907" w:h="16840"/>
          <w:pgMar w:top="2098" w:right="1474" w:bottom="1985" w:left="1588" w:header="0" w:footer="1028" w:gutter="0"/>
          <w:pgNumType w:fmt="numberInDash" w:start="4"/>
          <w:cols w:space="720" w:num="1"/>
          <w:titlePg/>
          <w:docGrid w:type="lines" w:linePitch="381" w:charSpace="0"/>
        </w:sectPr>
      </w:pPr>
      <w:r>
        <w:rPr>
          <w:rFonts w:hint="eastAsia" w:ascii="仿宋_GB2312" w:eastAsia="仿宋_GB2312"/>
          <w:kern w:val="0"/>
          <w:sz w:val="32"/>
          <w:szCs w:val="32"/>
        </w:rPr>
        <w:t>20.中小企业科技创新能力培育途径研究</w:t>
      </w:r>
      <w:bookmarkStart w:id="2" w:name="_GoBack"/>
      <w:bookmarkEnd w:id="2"/>
    </w:p>
    <w:p>
      <w:pPr>
        <w:overflowPunct w:val="0"/>
        <w:topLinePunct/>
        <w:adjustRightInd w:val="0"/>
        <w:snapToGrid w:val="0"/>
        <w:spacing w:line="560" w:lineRule="exact"/>
        <w:jc w:val="left"/>
        <w:rPr>
          <w:rFonts w:ascii="仿宋_GB2312" w:eastAsia="仿宋_GB2312"/>
          <w:sz w:val="32"/>
          <w:szCs w:val="32"/>
        </w:rPr>
      </w:pPr>
    </w:p>
    <w:sectPr>
      <w:footerReference r:id="rId5" w:type="default"/>
      <w:pgSz w:w="16840" w:h="11907" w:orient="landscape"/>
      <w:pgMar w:top="1474" w:right="1985" w:bottom="1588" w:left="2098" w:header="0" w:footer="1028" w:gutter="0"/>
      <w:pgNumType w:fmt="numberInDash" w:start="14"/>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ascii="仿宋_GB2312" w:eastAsia="仿宋_GB2312"/>
        <w:sz w:val="28"/>
        <w:szCs w:val="28"/>
      </w:rPr>
    </w:pPr>
    <w:r>
      <w:rPr>
        <w:rStyle w:val="9"/>
        <w:rFonts w:ascii="仿宋_GB2312" w:eastAsia="仿宋_GB2312"/>
        <w:sz w:val="28"/>
        <w:szCs w:val="28"/>
      </w:rPr>
      <w:fldChar w:fldCharType="begin"/>
    </w:r>
    <w:r>
      <w:rPr>
        <w:rStyle w:val="9"/>
        <w:rFonts w:ascii="仿宋_GB2312" w:eastAsia="仿宋_GB2312"/>
        <w:sz w:val="28"/>
        <w:szCs w:val="28"/>
      </w:rPr>
      <w:instrText xml:space="preserve">PAGE  </w:instrText>
    </w:r>
    <w:r>
      <w:rPr>
        <w:rStyle w:val="9"/>
        <w:rFonts w:ascii="仿宋_GB2312" w:eastAsia="仿宋_GB2312"/>
        <w:sz w:val="28"/>
        <w:szCs w:val="28"/>
      </w:rPr>
      <w:fldChar w:fldCharType="separate"/>
    </w:r>
    <w:r>
      <w:rPr>
        <w:rStyle w:val="9"/>
        <w:rFonts w:ascii="仿宋_GB2312" w:eastAsia="仿宋_GB2312"/>
        <w:sz w:val="28"/>
        <w:szCs w:val="28"/>
      </w:rPr>
      <w:t>- 5 -</w:t>
    </w:r>
    <w:r>
      <w:rPr>
        <w:rStyle w:val="9"/>
        <w:rFonts w:ascii="仿宋_GB2312" w:eastAsia="仿宋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Times New Roman" w:eastAsia="仿宋_GB2312"/>
        <w:sz w:val="28"/>
        <w:szCs w:val="28"/>
      </w:rPr>
    </w:pPr>
    <w:r>
      <w:rPr>
        <w:rFonts w:hint="eastAsia" w:ascii="仿宋_GB2312" w:hAnsi="Times New Roman" w:eastAsia="仿宋_GB2312"/>
        <w:sz w:val="28"/>
        <w:szCs w:val="28"/>
      </w:rPr>
      <w:fldChar w:fldCharType="begin"/>
    </w:r>
    <w:r>
      <w:rPr>
        <w:rFonts w:hint="eastAsia" w:ascii="仿宋_GB2312" w:hAnsi="Times New Roman" w:eastAsia="仿宋_GB2312"/>
        <w:sz w:val="28"/>
        <w:szCs w:val="28"/>
      </w:rPr>
      <w:instrText xml:space="preserve"> PAGE   \* MERGEFORMAT </w:instrText>
    </w:r>
    <w:r>
      <w:rPr>
        <w:rFonts w:hint="eastAsia" w:ascii="仿宋_GB2312" w:hAnsi="Times New Roman" w:eastAsia="仿宋_GB2312"/>
        <w:sz w:val="28"/>
        <w:szCs w:val="28"/>
      </w:rPr>
      <w:fldChar w:fldCharType="separate"/>
    </w:r>
    <w:r>
      <w:rPr>
        <w:rFonts w:ascii="仿宋_GB2312" w:hAnsi="Times New Roman" w:eastAsia="仿宋_GB2312"/>
        <w:sz w:val="28"/>
        <w:szCs w:val="28"/>
        <w:lang w:val="zh-CN"/>
      </w:rPr>
      <w:t>-</w:t>
    </w:r>
    <w:r>
      <w:rPr>
        <w:rFonts w:ascii="仿宋_GB2312" w:hAnsi="Times New Roman" w:eastAsia="仿宋_GB2312"/>
        <w:sz w:val="28"/>
        <w:szCs w:val="28"/>
      </w:rPr>
      <w:t xml:space="preserve"> 4 -</w:t>
    </w:r>
    <w:r>
      <w:rPr>
        <w:rFonts w:hint="eastAsia" w:ascii="仿宋_GB2312" w:hAnsi="Times New Roman"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196"/>
    <w:rsid w:val="00030E83"/>
    <w:rsid w:val="00044299"/>
    <w:rsid w:val="000B6708"/>
    <w:rsid w:val="00152E2D"/>
    <w:rsid w:val="00161A8B"/>
    <w:rsid w:val="0017722B"/>
    <w:rsid w:val="0019028C"/>
    <w:rsid w:val="001C3332"/>
    <w:rsid w:val="00207FA6"/>
    <w:rsid w:val="00236FFD"/>
    <w:rsid w:val="002D410E"/>
    <w:rsid w:val="002E7FB1"/>
    <w:rsid w:val="00334F82"/>
    <w:rsid w:val="003C31A9"/>
    <w:rsid w:val="003C6829"/>
    <w:rsid w:val="00406825"/>
    <w:rsid w:val="00414ED2"/>
    <w:rsid w:val="004F79A7"/>
    <w:rsid w:val="004F79D8"/>
    <w:rsid w:val="0054308E"/>
    <w:rsid w:val="005A0443"/>
    <w:rsid w:val="005B0FD4"/>
    <w:rsid w:val="00625F53"/>
    <w:rsid w:val="00645850"/>
    <w:rsid w:val="00656C42"/>
    <w:rsid w:val="00680969"/>
    <w:rsid w:val="0069189A"/>
    <w:rsid w:val="006B3860"/>
    <w:rsid w:val="006C446E"/>
    <w:rsid w:val="007636FE"/>
    <w:rsid w:val="007E1196"/>
    <w:rsid w:val="00813BFD"/>
    <w:rsid w:val="008422A7"/>
    <w:rsid w:val="0084251A"/>
    <w:rsid w:val="00877240"/>
    <w:rsid w:val="008E04D5"/>
    <w:rsid w:val="008F693B"/>
    <w:rsid w:val="009510DA"/>
    <w:rsid w:val="009A28EB"/>
    <w:rsid w:val="009A7A2F"/>
    <w:rsid w:val="00A16B37"/>
    <w:rsid w:val="00A33F22"/>
    <w:rsid w:val="00A524D0"/>
    <w:rsid w:val="00A73B6A"/>
    <w:rsid w:val="00AA417E"/>
    <w:rsid w:val="00AE0BE0"/>
    <w:rsid w:val="00B26555"/>
    <w:rsid w:val="00B44F26"/>
    <w:rsid w:val="00BA6D13"/>
    <w:rsid w:val="00C277F4"/>
    <w:rsid w:val="00C40A09"/>
    <w:rsid w:val="00C66B53"/>
    <w:rsid w:val="00C6785C"/>
    <w:rsid w:val="00C964FA"/>
    <w:rsid w:val="00CB5F5F"/>
    <w:rsid w:val="00D00987"/>
    <w:rsid w:val="00D1651B"/>
    <w:rsid w:val="00D6464D"/>
    <w:rsid w:val="00D80CB8"/>
    <w:rsid w:val="00DA3A77"/>
    <w:rsid w:val="00DD3329"/>
    <w:rsid w:val="00E02E61"/>
    <w:rsid w:val="00E44EBF"/>
    <w:rsid w:val="00E76A65"/>
    <w:rsid w:val="00EB408B"/>
    <w:rsid w:val="00EE3196"/>
    <w:rsid w:val="00F364F8"/>
    <w:rsid w:val="00F43F3A"/>
    <w:rsid w:val="00F87249"/>
    <w:rsid w:val="00FC1579"/>
    <w:rsid w:val="00FD4C92"/>
    <w:rsid w:val="73743C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link w:val="11"/>
    <w:qFormat/>
    <w:uiPriority w:val="99"/>
    <w:pPr>
      <w:keepNext/>
      <w:jc w:val="center"/>
      <w:outlineLvl w:val="3"/>
    </w:pPr>
    <w:rPr>
      <w:rFonts w:ascii="Calibri" w:hAnsi="Calibri" w:eastAsia="宋体"/>
      <w:b/>
      <w:sz w:val="24"/>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99"/>
    <w:pPr>
      <w:widowControl/>
      <w:overflowPunct w:val="0"/>
      <w:autoSpaceDE w:val="0"/>
      <w:autoSpaceDN w:val="0"/>
      <w:adjustRightInd w:val="0"/>
      <w:spacing w:after="120" w:line="480" w:lineRule="auto"/>
      <w:textAlignment w:val="baseline"/>
    </w:pPr>
    <w:rPr>
      <w:rFonts w:ascii="Calibri" w:hAnsi="Calibri" w:eastAsia="宋体"/>
      <w:kern w:val="0"/>
      <w:sz w:val="28"/>
      <w:szCs w:val="20"/>
    </w:rPr>
  </w:style>
  <w:style w:type="paragraph" w:styleId="6">
    <w:name w:val="Normal (Web)"/>
    <w:basedOn w:val="1"/>
    <w:semiHidden/>
    <w:qFormat/>
    <w:uiPriority w:val="99"/>
    <w:pPr>
      <w:widowControl/>
      <w:spacing w:before="100" w:beforeAutospacing="1" w:after="225"/>
      <w:jc w:val="left"/>
    </w:pPr>
    <w:rPr>
      <w:rFonts w:ascii="宋体" w:hAnsi="宋体" w:eastAsia="宋体" w:cs="宋体"/>
      <w:kern w:val="0"/>
      <w:sz w:val="24"/>
      <w:szCs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563C1"/>
      <w:u w:val="single"/>
    </w:rPr>
  </w:style>
  <w:style w:type="character" w:customStyle="1" w:styleId="11">
    <w:name w:val="标题 4 Char"/>
    <w:basedOn w:val="8"/>
    <w:link w:val="2"/>
    <w:qFormat/>
    <w:locked/>
    <w:uiPriority w:val="99"/>
    <w:rPr>
      <w:rFonts w:ascii="Calibri" w:hAnsi="Calibri" w:eastAsia="宋体" w:cs="Times New Roman"/>
      <w:b/>
      <w:sz w:val="20"/>
      <w:szCs w:val="20"/>
    </w:rPr>
  </w:style>
  <w:style w:type="character" w:customStyle="1" w:styleId="12">
    <w:name w:val="页眉 Char"/>
    <w:basedOn w:val="8"/>
    <w:link w:val="4"/>
    <w:qFormat/>
    <w:locked/>
    <w:uiPriority w:val="99"/>
    <w:rPr>
      <w:rFonts w:cs="Times New Roman"/>
      <w:sz w:val="18"/>
      <w:szCs w:val="18"/>
    </w:rPr>
  </w:style>
  <w:style w:type="character" w:customStyle="1" w:styleId="13">
    <w:name w:val="页脚 Char"/>
    <w:basedOn w:val="8"/>
    <w:link w:val="3"/>
    <w:qFormat/>
    <w:locked/>
    <w:uiPriority w:val="99"/>
    <w:rPr>
      <w:rFonts w:cs="Times New Roman"/>
      <w:sz w:val="18"/>
      <w:szCs w:val="18"/>
    </w:rPr>
  </w:style>
  <w:style w:type="character" w:customStyle="1" w:styleId="14">
    <w:name w:val="正文文本 2 Char"/>
    <w:basedOn w:val="8"/>
    <w:link w:val="5"/>
    <w:qFormat/>
    <w:locked/>
    <w:uiPriority w:val="99"/>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483</Words>
  <Characters>2756</Characters>
  <Lines>22</Lines>
  <Paragraphs>6</Paragraphs>
  <TotalTime>99</TotalTime>
  <ScaleCrop>false</ScaleCrop>
  <LinksUpToDate>false</LinksUpToDate>
  <CharactersWithSpaces>3233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2021-02-23T02:48:00Z</dcterms:created>
  <dc:creator>lin</dc:creator>
  <cp:lastModifiedBy>徐乐乐</cp:lastModifiedBy>
  <cp:lastPrinted>2022-03-21T02:57:00Z</cp:lastPrinted>
  <dcterms:modified xsi:type="dcterms:W3CDTF">2022-03-22T09:39:12Z</dcterms:modified>
  <dc:title>泰科协发〔2021〕  号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FF12A5090E444128BECC6091306F0BF6</vt:lpwstr>
  </property>
</Properties>
</file>