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/>
        <w:rPr>
          <w:rFonts w:ascii="黑体" w:eastAsia="黑体"/>
          <w:lang w:eastAsia="zh-CN"/>
        </w:rPr>
      </w:pPr>
      <w:r>
        <w:rPr>
          <w:rFonts w:hint="eastAsia" w:ascii="黑体" w:eastAsia="黑体"/>
          <w:lang w:eastAsia="zh-CN"/>
        </w:rPr>
        <w:t xml:space="preserve">附件 </w:t>
      </w:r>
      <w:r>
        <w:rPr>
          <w:rFonts w:hint="eastAsia" w:ascii="黑体" w:eastAsia="黑体"/>
          <w:lang w:val="en-US" w:eastAsia="zh-CN"/>
        </w:rPr>
        <w:t>6</w:t>
      </w:r>
      <w:r>
        <w:rPr>
          <w:rFonts w:hint="eastAsia" w:ascii="黑体" w:eastAsia="黑体"/>
          <w:lang w:eastAsia="zh-CN"/>
        </w:rPr>
        <w:t>：</w:t>
      </w:r>
    </w:p>
    <w:p>
      <w:pPr>
        <w:pStyle w:val="2"/>
        <w:adjustRightInd w:val="0"/>
        <w:spacing w:before="120" w:beforeLines="50" w:after="120" w:afterLines="50"/>
        <w:ind w:left="0" w:right="0" w:firstLine="0"/>
        <w:jc w:val="center"/>
        <w:rPr>
          <w:sz w:val="32"/>
          <w:lang w:eastAsia="zh-CN"/>
        </w:rPr>
      </w:pPr>
      <w:r>
        <w:rPr>
          <w:rFonts w:hint="eastAsia"/>
          <w:sz w:val="32"/>
          <w:lang w:eastAsia="zh-CN"/>
        </w:rPr>
        <w:t>常州大学</w:t>
      </w:r>
      <w:r>
        <w:rPr>
          <w:rFonts w:hint="eastAsia"/>
          <w:sz w:val="32"/>
          <w:lang w:val="en-US" w:eastAsia="zh-CN"/>
        </w:rPr>
        <w:t>怀德学院</w:t>
      </w:r>
      <w:bookmarkStart w:id="0" w:name="_GoBack"/>
      <w:bookmarkEnd w:id="0"/>
      <w:r>
        <w:rPr>
          <w:sz w:val="32"/>
          <w:lang w:eastAsia="zh-CN"/>
        </w:rPr>
        <w:t>团干部思政技能大比武</w:t>
      </w:r>
      <w:r>
        <w:rPr>
          <w:rFonts w:hint="eastAsia"/>
          <w:sz w:val="32"/>
          <w:lang w:eastAsia="zh-CN"/>
        </w:rPr>
        <w:t>（基层团支部书记专项赛）</w:t>
      </w:r>
    </w:p>
    <w:p>
      <w:pPr>
        <w:pStyle w:val="2"/>
        <w:adjustRightInd w:val="0"/>
        <w:spacing w:before="120" w:beforeLines="50" w:after="120" w:afterLines="50"/>
        <w:ind w:left="0" w:right="0" w:firstLine="0"/>
        <w:jc w:val="center"/>
        <w:rPr>
          <w:sz w:val="32"/>
          <w:szCs w:val="44"/>
          <w:lang w:eastAsia="zh-CN"/>
        </w:rPr>
      </w:pPr>
      <w:r>
        <w:rPr>
          <w:rFonts w:hint="eastAsia"/>
          <w:sz w:val="32"/>
          <w:szCs w:val="44"/>
          <w:lang w:eastAsia="zh-CN"/>
        </w:rPr>
        <w:t>评审标准</w:t>
      </w:r>
    </w:p>
    <w:p>
      <w:pPr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一、主题团课、思政课评审标准</w:t>
      </w:r>
    </w:p>
    <w:p>
      <w:pPr>
        <w:spacing w:before="7" w:after="1"/>
        <w:rPr>
          <w:rFonts w:ascii="微软雅黑"/>
          <w:sz w:val="5"/>
          <w:szCs w:val="32"/>
          <w:lang w:eastAsia="zh-CN"/>
        </w:rPr>
      </w:pPr>
    </w:p>
    <w:tbl>
      <w:tblPr>
        <w:tblStyle w:val="6"/>
        <w:tblW w:w="8789" w:type="dxa"/>
        <w:tblInd w:w="-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71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635" w:type="dxa"/>
            <w:vAlign w:val="center"/>
          </w:tcPr>
          <w:p>
            <w:pPr>
              <w:spacing w:before="249"/>
              <w:ind w:left="256"/>
              <w:rPr>
                <w:rFonts w:ascii="黑体" w:hAnsi="方正楷体_GBK" w:eastAsia="黑体" w:cs="方正楷体_GBK"/>
                <w:sz w:val="28"/>
              </w:rPr>
            </w:pPr>
            <w:r>
              <w:rPr>
                <w:rFonts w:hint="eastAsia" w:ascii="黑体" w:hAnsi="方正楷体_GBK" w:eastAsia="黑体" w:cs="方正楷体_GBK"/>
                <w:sz w:val="28"/>
              </w:rPr>
              <w:t>评审内容</w:t>
            </w:r>
          </w:p>
        </w:tc>
        <w:tc>
          <w:tcPr>
            <w:tcW w:w="7154" w:type="dxa"/>
            <w:vAlign w:val="center"/>
          </w:tcPr>
          <w:p>
            <w:pPr>
              <w:spacing w:before="249"/>
              <w:ind w:left="2002" w:right="1993"/>
              <w:jc w:val="center"/>
              <w:rPr>
                <w:rFonts w:ascii="黑体" w:hAnsi="方正楷体_GBK" w:eastAsia="黑体" w:cs="方正楷体_GBK"/>
                <w:sz w:val="28"/>
              </w:rPr>
            </w:pPr>
            <w:r>
              <w:rPr>
                <w:rFonts w:hint="eastAsia" w:ascii="黑体" w:hAnsi="方正楷体_GBK" w:eastAsia="黑体" w:cs="方正楷体_GBK"/>
                <w:sz w:val="28"/>
              </w:rPr>
              <w:t xml:space="preserve">评审要求（共 </w:t>
            </w:r>
            <w:r>
              <w:rPr>
                <w:rFonts w:ascii="Times New Roman" w:hAnsi="方正楷体_GBK" w:eastAsia="Times New Roman" w:cs="方正楷体_GBK"/>
                <w:sz w:val="28"/>
              </w:rPr>
              <w:t xml:space="preserve">100 </w:t>
            </w:r>
            <w:r>
              <w:rPr>
                <w:rFonts w:hint="eastAsia" w:ascii="黑体" w:hAnsi="方正楷体_GBK" w:eastAsia="黑体" w:cs="方正楷体_GBK"/>
                <w:sz w:val="28"/>
              </w:rPr>
              <w:t>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</w:trPr>
        <w:tc>
          <w:tcPr>
            <w:tcW w:w="1635" w:type="dxa"/>
            <w:vAlign w:val="center"/>
          </w:tcPr>
          <w:p>
            <w:pPr>
              <w:spacing w:before="17"/>
              <w:ind w:left="-777" w:leftChars="-353" w:firstLine="742" w:firstLineChars="256"/>
              <w:rPr>
                <w:rFonts w:ascii="微软雅黑" w:hAnsi="方正楷体_GBK" w:eastAsia="方正楷体_GBK" w:cs="方正楷体_GBK"/>
                <w:sz w:val="29"/>
              </w:rPr>
            </w:pPr>
          </w:p>
          <w:p>
            <w:pPr>
              <w:ind w:left="256"/>
              <w:rPr>
                <w:rFonts w:ascii="黑体" w:hAnsi="方正楷体_GBK" w:eastAsia="黑体" w:cs="方正楷体_GBK"/>
                <w:sz w:val="28"/>
              </w:rPr>
            </w:pPr>
            <w:r>
              <w:rPr>
                <w:rFonts w:hint="eastAsia" w:ascii="黑体" w:hAnsi="方正楷体_GBK" w:eastAsia="黑体" w:cs="方正楷体_GBK"/>
                <w:spacing w:val="-2"/>
                <w:sz w:val="28"/>
              </w:rPr>
              <w:t>宣讲主题</w:t>
            </w:r>
          </w:p>
          <w:p>
            <w:pPr>
              <w:spacing w:before="62"/>
              <w:ind w:left="222"/>
              <w:rPr>
                <w:rFonts w:ascii="黑体" w:hAnsi="方正楷体_GBK" w:eastAsia="黑体" w:cs="方正楷体_GBK"/>
                <w:sz w:val="28"/>
              </w:rPr>
            </w:pPr>
            <w:r>
              <w:rPr>
                <w:rFonts w:hint="eastAsia" w:ascii="黑体" w:hAnsi="方正楷体_GBK" w:eastAsia="黑体" w:cs="方正楷体_GBK"/>
                <w:sz w:val="28"/>
              </w:rPr>
              <w:t>（</w:t>
            </w:r>
            <w:r>
              <w:rPr>
                <w:rFonts w:ascii="Times New Roman" w:hAnsi="方正楷体_GBK" w:eastAsia="Times New Roman" w:cs="方正楷体_GBK"/>
                <w:sz w:val="28"/>
              </w:rPr>
              <w:t>25</w:t>
            </w:r>
            <w:r>
              <w:rPr>
                <w:rFonts w:ascii="Times New Roman" w:hAnsi="方正楷体_GBK" w:eastAsia="Times New Roman" w:cs="方正楷体_GBK"/>
                <w:spacing w:val="-1"/>
                <w:sz w:val="28"/>
              </w:rPr>
              <w:t xml:space="preserve"> </w:t>
            </w:r>
            <w:r>
              <w:rPr>
                <w:rFonts w:hint="eastAsia" w:ascii="黑体" w:hAnsi="方正楷体_GBK" w:eastAsia="黑体" w:cs="方正楷体_GBK"/>
                <w:sz w:val="28"/>
              </w:rPr>
              <w:t>分）</w:t>
            </w:r>
          </w:p>
        </w:tc>
        <w:tc>
          <w:tcPr>
            <w:tcW w:w="7154" w:type="dxa"/>
            <w:vAlign w:val="center"/>
          </w:tcPr>
          <w:p>
            <w:pPr>
              <w:spacing w:line="560" w:lineRule="exact"/>
              <w:rPr>
                <w:rFonts w:ascii="仿宋_GB2312" w:hAnsi="方正楷体_GBK" w:eastAsia="仿宋_GB2312" w:cs="方正楷体_GBK"/>
                <w:spacing w:val="-12"/>
                <w:sz w:val="28"/>
                <w:lang w:eastAsia="zh-CN"/>
              </w:rPr>
            </w:pPr>
            <w:r>
              <w:rPr>
                <w:rFonts w:hint="eastAsia" w:ascii="仿宋_GB2312" w:hAnsi="方正楷体_GBK" w:eastAsia="仿宋_GB2312" w:cs="方正楷体_GBK"/>
                <w:spacing w:val="-12"/>
                <w:sz w:val="28"/>
                <w:lang w:eastAsia="zh-CN"/>
              </w:rPr>
              <w:t>主题鲜明，导向正确。能正确运用马克思主义立场、观</w:t>
            </w:r>
          </w:p>
          <w:p>
            <w:pPr>
              <w:spacing w:line="560" w:lineRule="exact"/>
              <w:rPr>
                <w:rFonts w:ascii="仿宋_GB2312" w:hAnsi="方正楷体_GBK" w:eastAsia="仿宋_GB2312" w:cs="方正楷体_GBK"/>
                <w:spacing w:val="-12"/>
                <w:sz w:val="28"/>
                <w:lang w:eastAsia="zh-CN"/>
              </w:rPr>
            </w:pPr>
            <w:r>
              <w:rPr>
                <w:rFonts w:hint="eastAsia" w:ascii="仿宋_GB2312" w:hAnsi="方正楷体_GBK" w:eastAsia="仿宋_GB2312" w:cs="方正楷体_GBK"/>
                <w:spacing w:val="-12"/>
                <w:sz w:val="28"/>
                <w:lang w:eastAsia="zh-CN"/>
              </w:rPr>
              <w:t>点和方法，帮助团员解决思想问题，特别是理想、信念、宗旨、作风等方面的问题，形成向上向善的积极导向。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9" w:hRule="atLeast"/>
        </w:trPr>
        <w:tc>
          <w:tcPr>
            <w:tcW w:w="1635" w:type="dxa"/>
            <w:vAlign w:val="center"/>
          </w:tcPr>
          <w:p>
            <w:pPr>
              <w:rPr>
                <w:rFonts w:ascii="微软雅黑" w:hAnsi="方正楷体_GBK" w:eastAsia="方正楷体_GBK" w:cs="方正楷体_GBK"/>
                <w:sz w:val="28"/>
                <w:lang w:eastAsia="zh-CN"/>
              </w:rPr>
            </w:pPr>
          </w:p>
          <w:p>
            <w:pPr>
              <w:spacing w:before="6"/>
              <w:rPr>
                <w:rFonts w:ascii="微软雅黑" w:hAnsi="方正楷体_GBK" w:eastAsia="方正楷体_GBK" w:cs="方正楷体_GBK"/>
                <w:sz w:val="32"/>
                <w:lang w:eastAsia="zh-CN"/>
              </w:rPr>
            </w:pPr>
          </w:p>
          <w:p>
            <w:pPr>
              <w:ind w:left="256"/>
              <w:rPr>
                <w:rFonts w:ascii="黑体" w:hAnsi="方正楷体_GBK" w:eastAsia="黑体" w:cs="方正楷体_GBK"/>
                <w:sz w:val="28"/>
              </w:rPr>
            </w:pPr>
            <w:r>
              <w:rPr>
                <w:rFonts w:hint="eastAsia" w:ascii="黑体" w:hAnsi="方正楷体_GBK" w:eastAsia="黑体" w:cs="方正楷体_GBK"/>
                <w:spacing w:val="-2"/>
                <w:sz w:val="28"/>
              </w:rPr>
              <w:t>宣讲内容</w:t>
            </w:r>
          </w:p>
          <w:p>
            <w:pPr>
              <w:spacing w:before="61"/>
              <w:ind w:left="222"/>
              <w:rPr>
                <w:rFonts w:ascii="黑体" w:hAnsi="方正楷体_GBK" w:eastAsia="黑体" w:cs="方正楷体_GBK"/>
                <w:sz w:val="28"/>
              </w:rPr>
            </w:pPr>
            <w:r>
              <w:rPr>
                <w:rFonts w:hint="eastAsia" w:ascii="黑体" w:hAnsi="方正楷体_GBK" w:eastAsia="黑体" w:cs="方正楷体_GBK"/>
                <w:sz w:val="28"/>
              </w:rPr>
              <w:t>（</w:t>
            </w:r>
            <w:r>
              <w:rPr>
                <w:rFonts w:ascii="Times New Roman" w:hAnsi="方正楷体_GBK" w:eastAsia="Times New Roman" w:cs="方正楷体_GBK"/>
                <w:sz w:val="28"/>
              </w:rPr>
              <w:t>40</w:t>
            </w:r>
            <w:r>
              <w:rPr>
                <w:rFonts w:ascii="Times New Roman" w:hAnsi="方正楷体_GBK" w:eastAsia="Times New Roman" w:cs="方正楷体_GBK"/>
                <w:spacing w:val="-1"/>
                <w:sz w:val="28"/>
              </w:rPr>
              <w:t xml:space="preserve"> </w:t>
            </w:r>
            <w:r>
              <w:rPr>
                <w:rFonts w:hint="eastAsia" w:ascii="黑体" w:hAnsi="方正楷体_GBK" w:eastAsia="黑体" w:cs="方正楷体_GBK"/>
                <w:sz w:val="28"/>
              </w:rPr>
              <w:t>分）</w:t>
            </w:r>
          </w:p>
        </w:tc>
        <w:tc>
          <w:tcPr>
            <w:tcW w:w="7154" w:type="dxa"/>
            <w:vAlign w:val="center"/>
          </w:tcPr>
          <w:p>
            <w:pPr>
              <w:spacing w:line="560" w:lineRule="exact"/>
              <w:rPr>
                <w:rFonts w:ascii="仿宋_GB2312" w:hAnsi="方正楷体_GBK" w:eastAsia="仿宋_GB2312" w:cs="方正楷体_GBK"/>
                <w:spacing w:val="-12"/>
                <w:sz w:val="28"/>
                <w:lang w:eastAsia="zh-CN"/>
              </w:rPr>
            </w:pPr>
            <w:r>
              <w:rPr>
                <w:rFonts w:hint="eastAsia" w:ascii="仿宋_GB2312" w:hAnsi="方正楷体_GBK" w:eastAsia="仿宋_GB2312" w:cs="方正楷体_GBK"/>
                <w:spacing w:val="-12"/>
                <w:sz w:val="28"/>
                <w:lang w:eastAsia="zh-CN"/>
              </w:rPr>
              <w:t>内容丰富，逻辑清晰。能紧扣团课、思政课主题设计内容，结构严谨，主线明晰，观点准确，内容丰富，衔接顺畅，素材选用得当，有一定的信息量，语言贴合青年特点，能够将政治思想转化为青年语言，符合团课、思政课内容要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0" w:hRule="atLeast"/>
        </w:trPr>
        <w:tc>
          <w:tcPr>
            <w:tcW w:w="1635" w:type="dxa"/>
            <w:vAlign w:val="center"/>
          </w:tcPr>
          <w:p>
            <w:pPr>
              <w:rPr>
                <w:rFonts w:ascii="微软雅黑" w:hAnsi="方正楷体_GBK" w:eastAsia="方正楷体_GBK" w:cs="方正楷体_GBK"/>
                <w:sz w:val="28"/>
              </w:rPr>
            </w:pPr>
          </w:p>
          <w:p>
            <w:pPr>
              <w:spacing w:before="5"/>
              <w:rPr>
                <w:rFonts w:ascii="微软雅黑" w:hAnsi="方正楷体_GBK" w:eastAsia="方正楷体_GBK" w:cs="方正楷体_GBK"/>
                <w:sz w:val="32"/>
              </w:rPr>
            </w:pPr>
          </w:p>
          <w:p>
            <w:pPr>
              <w:ind w:left="256"/>
              <w:rPr>
                <w:rFonts w:ascii="黑体" w:hAnsi="方正楷体_GBK" w:eastAsia="黑体" w:cs="方正楷体_GBK"/>
                <w:sz w:val="28"/>
              </w:rPr>
            </w:pPr>
            <w:r>
              <w:rPr>
                <w:rFonts w:hint="eastAsia" w:ascii="黑体" w:hAnsi="方正楷体_GBK" w:eastAsia="黑体" w:cs="方正楷体_GBK"/>
                <w:spacing w:val="-2"/>
                <w:sz w:val="28"/>
              </w:rPr>
              <w:t>宣讲形式</w:t>
            </w:r>
          </w:p>
          <w:p>
            <w:pPr>
              <w:spacing w:before="61"/>
              <w:ind w:left="222"/>
              <w:rPr>
                <w:rFonts w:ascii="黑体" w:hAnsi="方正楷体_GBK" w:eastAsia="黑体" w:cs="方正楷体_GBK"/>
                <w:sz w:val="28"/>
              </w:rPr>
            </w:pPr>
            <w:r>
              <w:rPr>
                <w:rFonts w:hint="eastAsia" w:ascii="黑体" w:hAnsi="方正楷体_GBK" w:eastAsia="黑体" w:cs="方正楷体_GBK"/>
                <w:sz w:val="28"/>
              </w:rPr>
              <w:t>（</w:t>
            </w:r>
            <w:r>
              <w:rPr>
                <w:rFonts w:ascii="Times New Roman" w:hAnsi="方正楷体_GBK" w:eastAsia="Times New Roman" w:cs="方正楷体_GBK"/>
                <w:sz w:val="28"/>
              </w:rPr>
              <w:t>15</w:t>
            </w:r>
            <w:r>
              <w:rPr>
                <w:rFonts w:ascii="Times New Roman" w:hAnsi="方正楷体_GBK" w:eastAsia="Times New Roman" w:cs="方正楷体_GBK"/>
                <w:spacing w:val="-1"/>
                <w:sz w:val="28"/>
              </w:rPr>
              <w:t xml:space="preserve"> </w:t>
            </w:r>
            <w:r>
              <w:rPr>
                <w:rFonts w:hint="eastAsia" w:ascii="黑体" w:hAnsi="方正楷体_GBK" w:eastAsia="黑体" w:cs="方正楷体_GBK"/>
                <w:sz w:val="28"/>
              </w:rPr>
              <w:t>分）</w:t>
            </w:r>
          </w:p>
        </w:tc>
        <w:tc>
          <w:tcPr>
            <w:tcW w:w="7154" w:type="dxa"/>
            <w:vAlign w:val="center"/>
          </w:tcPr>
          <w:p>
            <w:pPr>
              <w:spacing w:line="560" w:lineRule="exact"/>
              <w:rPr>
                <w:rFonts w:ascii="仿宋_GB2312" w:hAnsi="方正楷体_GBK" w:eastAsia="仿宋_GB2312" w:cs="方正楷体_GBK"/>
                <w:spacing w:val="-12"/>
                <w:sz w:val="28"/>
                <w:lang w:eastAsia="zh-CN"/>
              </w:rPr>
            </w:pPr>
            <w:r>
              <w:rPr>
                <w:rFonts w:hint="eastAsia" w:ascii="仿宋_GB2312" w:hAnsi="方正楷体_GBK" w:eastAsia="仿宋_GB2312" w:cs="方正楷体_GBK"/>
                <w:spacing w:val="-12"/>
                <w:sz w:val="28"/>
                <w:lang w:eastAsia="zh-CN"/>
              </w:rPr>
              <w:t>形象生动，引人入胜。能紧扣团课、思政课主题和内容设计讲授形式，有较好的讲授技巧，善于将“大道理” 转化为团员青年易于接受的“小道理”，口头表达清晰准确流利，仪态端庄大方，表情和肢体语言得体，感情饱满有感染力。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</w:trPr>
        <w:tc>
          <w:tcPr>
            <w:tcW w:w="1635" w:type="dxa"/>
            <w:vAlign w:val="center"/>
          </w:tcPr>
          <w:p>
            <w:pPr>
              <w:spacing w:before="16"/>
              <w:rPr>
                <w:rFonts w:ascii="微软雅黑" w:hAnsi="方正楷体_GBK" w:eastAsia="方正楷体_GBK" w:cs="方正楷体_GBK"/>
                <w:sz w:val="29"/>
              </w:rPr>
            </w:pPr>
          </w:p>
          <w:p>
            <w:pPr>
              <w:spacing w:before="1"/>
              <w:ind w:left="256"/>
              <w:rPr>
                <w:rFonts w:ascii="黑体" w:hAnsi="方正楷体_GBK" w:eastAsia="黑体" w:cs="方正楷体_GBK"/>
                <w:sz w:val="28"/>
              </w:rPr>
            </w:pPr>
            <w:r>
              <w:rPr>
                <w:rFonts w:hint="eastAsia" w:ascii="黑体" w:hAnsi="方正楷体_GBK" w:eastAsia="黑体" w:cs="方正楷体_GBK"/>
                <w:spacing w:val="-2"/>
                <w:sz w:val="28"/>
              </w:rPr>
              <w:t>宣讲效果</w:t>
            </w:r>
          </w:p>
          <w:p>
            <w:pPr>
              <w:spacing w:before="61"/>
              <w:ind w:left="222"/>
              <w:rPr>
                <w:rFonts w:ascii="黑体" w:hAnsi="方正楷体_GBK" w:eastAsia="黑体" w:cs="方正楷体_GBK"/>
                <w:sz w:val="28"/>
              </w:rPr>
            </w:pPr>
            <w:r>
              <w:rPr>
                <w:rFonts w:hint="eastAsia" w:ascii="黑体" w:hAnsi="方正楷体_GBK" w:eastAsia="黑体" w:cs="方正楷体_GBK"/>
                <w:sz w:val="28"/>
              </w:rPr>
              <w:t>（</w:t>
            </w:r>
            <w:r>
              <w:rPr>
                <w:rFonts w:ascii="Times New Roman" w:hAnsi="方正楷体_GBK" w:eastAsia="Times New Roman" w:cs="方正楷体_GBK"/>
                <w:sz w:val="28"/>
              </w:rPr>
              <w:t>20</w:t>
            </w:r>
            <w:r>
              <w:rPr>
                <w:rFonts w:ascii="Times New Roman" w:hAnsi="方正楷体_GBK" w:eastAsia="Times New Roman" w:cs="方正楷体_GBK"/>
                <w:spacing w:val="-1"/>
                <w:sz w:val="28"/>
              </w:rPr>
              <w:t xml:space="preserve"> </w:t>
            </w:r>
            <w:r>
              <w:rPr>
                <w:rFonts w:hint="eastAsia" w:ascii="黑体" w:hAnsi="方正楷体_GBK" w:eastAsia="黑体" w:cs="方正楷体_GBK"/>
                <w:sz w:val="28"/>
              </w:rPr>
              <w:t>分）</w:t>
            </w:r>
          </w:p>
        </w:tc>
        <w:tc>
          <w:tcPr>
            <w:tcW w:w="7154" w:type="dxa"/>
            <w:vAlign w:val="center"/>
          </w:tcPr>
          <w:p>
            <w:pPr>
              <w:spacing w:line="560" w:lineRule="exact"/>
              <w:rPr>
                <w:rFonts w:ascii="仿宋_GB2312" w:hAnsi="方正楷体_GBK" w:eastAsia="仿宋_GB2312" w:cs="方正楷体_GBK"/>
                <w:spacing w:val="-12"/>
                <w:sz w:val="28"/>
                <w:lang w:eastAsia="zh-CN"/>
              </w:rPr>
            </w:pPr>
            <w:r>
              <w:rPr>
                <w:rFonts w:hint="eastAsia" w:ascii="仿宋_GB2312" w:hAnsi="方正楷体_GBK" w:eastAsia="仿宋_GB2312" w:cs="方正楷体_GBK"/>
                <w:spacing w:val="-12"/>
                <w:sz w:val="28"/>
                <w:lang w:eastAsia="zh-CN"/>
              </w:rPr>
              <w:t>目标明确、达到预期。能结合团员青年身心特点，培养团员意识，增强对党、团组织的理解和认同，共鸣感强， 宣讲效果好。</w:t>
            </w:r>
          </w:p>
        </w:tc>
      </w:tr>
    </w:tbl>
    <w:p>
      <w:pPr>
        <w:spacing w:line="560" w:lineRule="atLeast"/>
        <w:rPr>
          <w:sz w:val="28"/>
          <w:lang w:eastAsia="zh-CN"/>
        </w:rPr>
        <w:sectPr>
          <w:pgSz w:w="11910" w:h="16840"/>
          <w:pgMar w:top="1520" w:right="1704" w:bottom="1180" w:left="1560" w:header="0" w:footer="917" w:gutter="0"/>
          <w:cols w:space="720" w:num="1"/>
        </w:sectPr>
      </w:pPr>
    </w:p>
    <w:p>
      <w:pPr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二、主题团日活动评审标准</w:t>
      </w:r>
    </w:p>
    <w:p>
      <w:pPr>
        <w:spacing w:before="8" w:after="1"/>
        <w:rPr>
          <w:rFonts w:ascii="微软雅黑"/>
          <w:sz w:val="5"/>
          <w:szCs w:val="32"/>
          <w:lang w:eastAsia="zh-CN"/>
        </w:rPr>
      </w:pPr>
    </w:p>
    <w:tbl>
      <w:tblPr>
        <w:tblStyle w:val="6"/>
        <w:tblW w:w="8550" w:type="dxa"/>
        <w:tblInd w:w="-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69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635" w:type="dxa"/>
            <w:vAlign w:val="center"/>
          </w:tcPr>
          <w:p>
            <w:pPr>
              <w:spacing w:before="248"/>
              <w:ind w:left="256"/>
              <w:rPr>
                <w:rFonts w:ascii="黑体" w:hAnsi="方正楷体_GBK" w:eastAsia="黑体" w:cs="方正楷体_GBK"/>
                <w:sz w:val="28"/>
              </w:rPr>
            </w:pPr>
            <w:r>
              <w:rPr>
                <w:rFonts w:hint="eastAsia" w:ascii="黑体" w:hAnsi="方正楷体_GBK" w:eastAsia="黑体" w:cs="方正楷体_GBK"/>
                <w:sz w:val="28"/>
              </w:rPr>
              <w:t>评审内容</w:t>
            </w:r>
          </w:p>
        </w:tc>
        <w:tc>
          <w:tcPr>
            <w:tcW w:w="6915" w:type="dxa"/>
            <w:vAlign w:val="center"/>
          </w:tcPr>
          <w:p>
            <w:pPr>
              <w:spacing w:before="248"/>
              <w:ind w:left="2002" w:right="1993"/>
              <w:jc w:val="both"/>
              <w:rPr>
                <w:rFonts w:ascii="黑体" w:hAnsi="方正楷体_GBK" w:eastAsia="黑体" w:cs="方正楷体_GBK"/>
                <w:sz w:val="28"/>
              </w:rPr>
            </w:pPr>
            <w:r>
              <w:rPr>
                <w:rFonts w:hint="eastAsia" w:ascii="黑体" w:hAnsi="方正楷体_GBK" w:eastAsia="黑体" w:cs="方正楷体_GBK"/>
                <w:sz w:val="28"/>
              </w:rPr>
              <w:t xml:space="preserve">评审要求（共 </w:t>
            </w:r>
            <w:r>
              <w:rPr>
                <w:rFonts w:ascii="Times New Roman" w:hAnsi="方正楷体_GBK" w:eastAsia="Times New Roman" w:cs="方正楷体_GBK"/>
                <w:sz w:val="28"/>
              </w:rPr>
              <w:t xml:space="preserve">100 </w:t>
            </w:r>
            <w:r>
              <w:rPr>
                <w:rFonts w:hint="eastAsia" w:ascii="黑体" w:hAnsi="方正楷体_GBK" w:eastAsia="黑体" w:cs="方正楷体_GBK"/>
                <w:sz w:val="28"/>
              </w:rPr>
              <w:t>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0" w:hRule="atLeast"/>
        </w:trPr>
        <w:tc>
          <w:tcPr>
            <w:tcW w:w="1635" w:type="dxa"/>
            <w:vAlign w:val="center"/>
          </w:tcPr>
          <w:p>
            <w:pPr>
              <w:rPr>
                <w:rFonts w:ascii="微软雅黑" w:hAnsi="方正楷体_GBK" w:eastAsia="方正楷体_GBK" w:cs="方正楷体_GBK"/>
                <w:sz w:val="28"/>
              </w:rPr>
            </w:pPr>
          </w:p>
          <w:p>
            <w:pPr>
              <w:spacing w:before="2"/>
              <w:rPr>
                <w:rFonts w:ascii="微软雅黑" w:hAnsi="方正楷体_GBK" w:eastAsia="方正楷体_GBK" w:cs="方正楷体_GBK"/>
                <w:sz w:val="17"/>
              </w:rPr>
            </w:pPr>
          </w:p>
          <w:p>
            <w:pPr>
              <w:ind w:left="256"/>
              <w:rPr>
                <w:rFonts w:ascii="黑体" w:hAnsi="方正楷体_GBK" w:eastAsia="黑体" w:cs="方正楷体_GBK"/>
                <w:sz w:val="28"/>
              </w:rPr>
            </w:pPr>
            <w:r>
              <w:rPr>
                <w:rFonts w:hint="eastAsia" w:ascii="黑体" w:hAnsi="方正楷体_GBK" w:eastAsia="黑体" w:cs="方正楷体_GBK"/>
                <w:spacing w:val="-2"/>
                <w:sz w:val="28"/>
              </w:rPr>
              <w:t>政治方向</w:t>
            </w:r>
          </w:p>
          <w:p>
            <w:pPr>
              <w:spacing w:before="62"/>
              <w:ind w:left="222"/>
              <w:rPr>
                <w:rFonts w:ascii="黑体" w:hAnsi="方正楷体_GBK" w:eastAsia="黑体" w:cs="方正楷体_GBK"/>
                <w:sz w:val="28"/>
              </w:rPr>
            </w:pPr>
            <w:r>
              <w:rPr>
                <w:rFonts w:hint="eastAsia" w:ascii="黑体" w:hAnsi="方正楷体_GBK" w:eastAsia="黑体" w:cs="方正楷体_GBK"/>
                <w:sz w:val="28"/>
              </w:rPr>
              <w:t>（</w:t>
            </w:r>
            <w:r>
              <w:rPr>
                <w:rFonts w:ascii="Times New Roman" w:hAnsi="方正楷体_GBK" w:eastAsia="Times New Roman" w:cs="方正楷体_GBK"/>
                <w:sz w:val="28"/>
              </w:rPr>
              <w:t>35</w:t>
            </w:r>
            <w:r>
              <w:rPr>
                <w:rFonts w:ascii="Times New Roman" w:hAnsi="方正楷体_GBK" w:eastAsia="Times New Roman" w:cs="方正楷体_GBK"/>
                <w:spacing w:val="-1"/>
                <w:sz w:val="28"/>
              </w:rPr>
              <w:t xml:space="preserve"> </w:t>
            </w:r>
            <w:r>
              <w:rPr>
                <w:rFonts w:hint="eastAsia" w:ascii="黑体" w:hAnsi="方正楷体_GBK" w:eastAsia="黑体" w:cs="方正楷体_GBK"/>
                <w:sz w:val="28"/>
              </w:rPr>
              <w:t>分）</w:t>
            </w:r>
          </w:p>
        </w:tc>
        <w:tc>
          <w:tcPr>
            <w:tcW w:w="6915" w:type="dxa"/>
            <w:vAlign w:val="center"/>
          </w:tcPr>
          <w:p>
            <w:pPr>
              <w:spacing w:line="560" w:lineRule="exact"/>
              <w:rPr>
                <w:rFonts w:ascii="仿宋_GB2312" w:hAnsi="方正楷体_GBK" w:eastAsia="仿宋_GB2312" w:cs="方正楷体_GBK"/>
                <w:spacing w:val="-12"/>
                <w:sz w:val="28"/>
                <w:lang w:eastAsia="zh-CN"/>
              </w:rPr>
            </w:pPr>
            <w:r>
              <w:rPr>
                <w:rFonts w:hint="eastAsia" w:ascii="仿宋_GB2312" w:hAnsi="方正楷体_GBK" w:eastAsia="仿宋_GB2312" w:cs="方正楷体_GBK"/>
                <w:spacing w:val="-12"/>
                <w:sz w:val="28"/>
                <w:lang w:eastAsia="zh-CN"/>
              </w:rPr>
              <w:t>体现政治高度，准确阐释题目的概念与内涵，把“是什么”“为什么”“怎么做”讲清楚、讲明白，能展现高校基层团支部引领青年学生思想，凝聚青春力量的组织价值。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9" w:hRule="atLeast"/>
        </w:trPr>
        <w:tc>
          <w:tcPr>
            <w:tcW w:w="1635" w:type="dxa"/>
            <w:vAlign w:val="center"/>
          </w:tcPr>
          <w:p>
            <w:pPr>
              <w:spacing w:before="16"/>
              <w:rPr>
                <w:rFonts w:ascii="微软雅黑" w:hAnsi="方正楷体_GBK" w:eastAsia="方正楷体_GBK" w:cs="方正楷体_GBK"/>
                <w:sz w:val="29"/>
              </w:rPr>
            </w:pPr>
          </w:p>
          <w:p>
            <w:pPr>
              <w:spacing w:before="1"/>
              <w:ind w:left="256"/>
              <w:rPr>
                <w:rFonts w:ascii="黑体" w:hAnsi="方正楷体_GBK" w:eastAsia="黑体" w:cs="方正楷体_GBK"/>
                <w:sz w:val="28"/>
              </w:rPr>
            </w:pPr>
            <w:r>
              <w:rPr>
                <w:rFonts w:hint="eastAsia" w:ascii="黑体" w:hAnsi="方正楷体_GBK" w:eastAsia="黑体" w:cs="方正楷体_GBK"/>
                <w:spacing w:val="-2"/>
                <w:sz w:val="28"/>
              </w:rPr>
              <w:t>宣讲导向</w:t>
            </w:r>
          </w:p>
          <w:p>
            <w:pPr>
              <w:spacing w:before="61"/>
              <w:ind w:left="222"/>
              <w:rPr>
                <w:rFonts w:ascii="黑体" w:hAnsi="方正楷体_GBK" w:eastAsia="黑体" w:cs="方正楷体_GBK"/>
                <w:sz w:val="28"/>
              </w:rPr>
            </w:pPr>
            <w:r>
              <w:rPr>
                <w:rFonts w:hint="eastAsia" w:ascii="黑体" w:hAnsi="方正楷体_GBK" w:eastAsia="黑体" w:cs="方正楷体_GBK"/>
                <w:sz w:val="28"/>
              </w:rPr>
              <w:t>（</w:t>
            </w:r>
            <w:r>
              <w:rPr>
                <w:rFonts w:ascii="Times New Roman" w:hAnsi="方正楷体_GBK" w:eastAsia="Times New Roman" w:cs="方正楷体_GBK"/>
                <w:sz w:val="28"/>
              </w:rPr>
              <w:t>35</w:t>
            </w:r>
            <w:r>
              <w:rPr>
                <w:rFonts w:ascii="Times New Roman" w:hAnsi="方正楷体_GBK" w:eastAsia="Times New Roman" w:cs="方正楷体_GBK"/>
                <w:spacing w:val="-1"/>
                <w:sz w:val="28"/>
              </w:rPr>
              <w:t xml:space="preserve"> </w:t>
            </w:r>
            <w:r>
              <w:rPr>
                <w:rFonts w:hint="eastAsia" w:ascii="黑体" w:hAnsi="方正楷体_GBK" w:eastAsia="黑体" w:cs="方正楷体_GBK"/>
                <w:sz w:val="28"/>
              </w:rPr>
              <w:t>分）</w:t>
            </w:r>
          </w:p>
        </w:tc>
        <w:tc>
          <w:tcPr>
            <w:tcW w:w="6915" w:type="dxa"/>
            <w:vAlign w:val="center"/>
          </w:tcPr>
          <w:p>
            <w:pPr>
              <w:spacing w:line="560" w:lineRule="exact"/>
              <w:rPr>
                <w:rFonts w:ascii="仿宋_GB2312" w:hAnsi="方正楷体_GBK" w:eastAsia="仿宋_GB2312" w:cs="方正楷体_GBK"/>
                <w:spacing w:val="-12"/>
                <w:sz w:val="28"/>
                <w:lang w:eastAsia="zh-CN"/>
              </w:rPr>
            </w:pPr>
            <w:r>
              <w:rPr>
                <w:rFonts w:hint="eastAsia" w:ascii="仿宋_GB2312" w:hAnsi="方正楷体_GBK" w:eastAsia="仿宋_GB2312" w:cs="方正楷体_GBK"/>
                <w:spacing w:val="-12"/>
                <w:sz w:val="28"/>
                <w:lang w:eastAsia="zh-CN"/>
              </w:rPr>
              <w:t>善于运用历史和现实、国际和国内的对比，紧扣青年学生的心理特点、成长规律、知识结构，有效运用表达方式和传播艺术，引起学生共鸣，有较强说服力。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</w:trPr>
        <w:tc>
          <w:tcPr>
            <w:tcW w:w="1635" w:type="dxa"/>
            <w:vAlign w:val="center"/>
          </w:tcPr>
          <w:p>
            <w:pPr>
              <w:spacing w:before="15"/>
              <w:rPr>
                <w:rFonts w:ascii="微软雅黑" w:hAnsi="方正楷体_GBK" w:eastAsia="方正楷体_GBK" w:cs="方正楷体_GBK"/>
                <w:sz w:val="32"/>
                <w:lang w:eastAsia="zh-CN"/>
              </w:rPr>
            </w:pPr>
          </w:p>
          <w:p>
            <w:pPr>
              <w:ind w:left="256"/>
              <w:rPr>
                <w:rFonts w:ascii="黑体" w:hAnsi="方正楷体_GBK" w:eastAsia="黑体" w:cs="方正楷体_GBK"/>
                <w:sz w:val="28"/>
              </w:rPr>
            </w:pPr>
            <w:r>
              <w:rPr>
                <w:rFonts w:hint="eastAsia" w:ascii="黑体" w:hAnsi="方正楷体_GBK" w:eastAsia="黑体" w:cs="方正楷体_GBK"/>
                <w:spacing w:val="-2"/>
                <w:sz w:val="28"/>
              </w:rPr>
              <w:t>演讲逻辑</w:t>
            </w:r>
          </w:p>
          <w:p>
            <w:pPr>
              <w:spacing w:before="61"/>
              <w:ind w:left="222"/>
              <w:rPr>
                <w:rFonts w:ascii="黑体" w:hAnsi="方正楷体_GBK" w:eastAsia="黑体" w:cs="方正楷体_GBK"/>
                <w:sz w:val="28"/>
              </w:rPr>
            </w:pPr>
            <w:r>
              <w:rPr>
                <w:rFonts w:hint="eastAsia" w:ascii="黑体" w:hAnsi="方正楷体_GBK" w:eastAsia="黑体" w:cs="方正楷体_GBK"/>
                <w:sz w:val="28"/>
              </w:rPr>
              <w:t>（</w:t>
            </w:r>
            <w:r>
              <w:rPr>
                <w:rFonts w:ascii="Times New Roman" w:hAnsi="方正楷体_GBK" w:eastAsia="Times New Roman" w:cs="方正楷体_GBK"/>
                <w:sz w:val="28"/>
              </w:rPr>
              <w:t>20</w:t>
            </w:r>
            <w:r>
              <w:rPr>
                <w:rFonts w:ascii="Times New Roman" w:hAnsi="方正楷体_GBK" w:eastAsia="Times New Roman" w:cs="方正楷体_GBK"/>
                <w:spacing w:val="-1"/>
                <w:sz w:val="28"/>
              </w:rPr>
              <w:t xml:space="preserve"> </w:t>
            </w:r>
            <w:r>
              <w:rPr>
                <w:rFonts w:hint="eastAsia" w:ascii="黑体" w:hAnsi="方正楷体_GBK" w:eastAsia="黑体" w:cs="方正楷体_GBK"/>
                <w:sz w:val="28"/>
              </w:rPr>
              <w:t>分）</w:t>
            </w:r>
          </w:p>
        </w:tc>
        <w:tc>
          <w:tcPr>
            <w:tcW w:w="6915" w:type="dxa"/>
            <w:vAlign w:val="center"/>
          </w:tcPr>
          <w:p>
            <w:pPr>
              <w:spacing w:line="560" w:lineRule="exact"/>
              <w:rPr>
                <w:rFonts w:ascii="仿宋_GB2312" w:hAnsi="方正楷体_GBK" w:eastAsia="仿宋_GB2312" w:cs="方正楷体_GBK"/>
                <w:spacing w:val="-12"/>
                <w:sz w:val="28"/>
                <w:lang w:eastAsia="zh-CN"/>
              </w:rPr>
            </w:pPr>
            <w:r>
              <w:rPr>
                <w:rFonts w:hint="eastAsia" w:ascii="仿宋_GB2312" w:hAnsi="方正楷体_GBK" w:eastAsia="仿宋_GB2312" w:cs="方正楷体_GBK"/>
                <w:spacing w:val="-12"/>
                <w:sz w:val="28"/>
                <w:lang w:eastAsia="zh-CN"/>
              </w:rPr>
              <w:t>论点论据逻辑严密，条理清晰，能有效融入思想政治教育相关要素。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0" w:hRule="atLeast"/>
        </w:trPr>
        <w:tc>
          <w:tcPr>
            <w:tcW w:w="1635" w:type="dxa"/>
            <w:vAlign w:val="center"/>
          </w:tcPr>
          <w:p>
            <w:pPr>
              <w:rPr>
                <w:rFonts w:ascii="微软雅黑" w:hAnsi="方正楷体_GBK" w:eastAsia="方正楷体_GBK" w:cs="方正楷体_GBK"/>
                <w:sz w:val="28"/>
                <w:lang w:eastAsia="zh-CN"/>
              </w:rPr>
            </w:pPr>
          </w:p>
          <w:p>
            <w:pPr>
              <w:spacing w:before="1"/>
              <w:rPr>
                <w:rFonts w:ascii="微软雅黑" w:hAnsi="方正楷体_GBK" w:eastAsia="方正楷体_GBK" w:cs="方正楷体_GBK"/>
                <w:sz w:val="17"/>
                <w:lang w:eastAsia="zh-CN"/>
              </w:rPr>
            </w:pPr>
          </w:p>
          <w:p>
            <w:pPr>
              <w:spacing w:before="1"/>
              <w:ind w:left="256"/>
              <w:rPr>
                <w:rFonts w:ascii="黑体" w:hAnsi="方正楷体_GBK" w:eastAsia="黑体" w:cs="方正楷体_GBK"/>
                <w:sz w:val="28"/>
              </w:rPr>
            </w:pPr>
            <w:r>
              <w:rPr>
                <w:rFonts w:hint="eastAsia" w:ascii="黑体" w:hAnsi="方正楷体_GBK" w:eastAsia="黑体" w:cs="方正楷体_GBK"/>
                <w:spacing w:val="-2"/>
                <w:sz w:val="28"/>
              </w:rPr>
              <w:t>仪表仪态</w:t>
            </w:r>
          </w:p>
          <w:p>
            <w:pPr>
              <w:spacing w:before="61"/>
              <w:ind w:left="222"/>
              <w:rPr>
                <w:rFonts w:ascii="黑体" w:hAnsi="方正楷体_GBK" w:eastAsia="黑体" w:cs="方正楷体_GBK"/>
                <w:sz w:val="28"/>
              </w:rPr>
            </w:pPr>
            <w:r>
              <w:rPr>
                <w:rFonts w:hint="eastAsia" w:ascii="黑体" w:hAnsi="方正楷体_GBK" w:eastAsia="黑体" w:cs="方正楷体_GBK"/>
                <w:sz w:val="28"/>
              </w:rPr>
              <w:t>（</w:t>
            </w:r>
            <w:r>
              <w:rPr>
                <w:rFonts w:ascii="Times New Roman" w:hAnsi="方正楷体_GBK" w:eastAsia="Times New Roman" w:cs="方正楷体_GBK"/>
                <w:sz w:val="28"/>
              </w:rPr>
              <w:t>10</w:t>
            </w:r>
            <w:r>
              <w:rPr>
                <w:rFonts w:ascii="Times New Roman" w:hAnsi="方正楷体_GBK" w:eastAsia="Times New Roman" w:cs="方正楷体_GBK"/>
                <w:spacing w:val="-1"/>
                <w:sz w:val="28"/>
              </w:rPr>
              <w:t xml:space="preserve"> </w:t>
            </w:r>
            <w:r>
              <w:rPr>
                <w:rFonts w:hint="eastAsia" w:ascii="黑体" w:hAnsi="方正楷体_GBK" w:eastAsia="黑体" w:cs="方正楷体_GBK"/>
                <w:sz w:val="28"/>
              </w:rPr>
              <w:t>分）</w:t>
            </w:r>
          </w:p>
        </w:tc>
        <w:tc>
          <w:tcPr>
            <w:tcW w:w="6915" w:type="dxa"/>
            <w:vAlign w:val="center"/>
          </w:tcPr>
          <w:p>
            <w:pPr>
              <w:spacing w:line="560" w:lineRule="exact"/>
              <w:rPr>
                <w:rFonts w:ascii="仿宋_GB2312" w:hAnsi="方正楷体_GBK" w:eastAsia="仿宋_GB2312" w:cs="方正楷体_GBK"/>
                <w:spacing w:val="-12"/>
                <w:sz w:val="28"/>
                <w:lang w:eastAsia="zh-CN"/>
              </w:rPr>
            </w:pPr>
            <w:r>
              <w:rPr>
                <w:rFonts w:hint="eastAsia" w:ascii="仿宋_GB2312" w:hAnsi="方正楷体_GBK" w:eastAsia="仿宋_GB2312" w:cs="方正楷体_GBK"/>
                <w:spacing w:val="-12"/>
                <w:sz w:val="28"/>
                <w:lang w:eastAsia="zh-CN"/>
              </w:rPr>
              <w:t>举止大方自然，口齿清晰，表达流畅，语言生动形象， 感悟真挚，感染力较强，能展现高校基层团支部书记与中国共产党同行，与祖国同行、与时代同行、与人民同行、与梦想同行的价值追求。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652E50E8"/>
    <w:rsid w:val="652E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方正仿宋_GBK" w:hAnsi="方正仿宋_GBK" w:eastAsia="方正仿宋_GBK" w:cs="方正仿宋_GBK"/>
      <w:kern w:val="0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91"/>
      <w:ind w:left="2992" w:right="1813" w:hanging="1800"/>
      <w:outlineLvl w:val="0"/>
    </w:pPr>
    <w:rPr>
      <w:rFonts w:ascii="方正小标宋_GBK" w:hAnsi="方正小标宋_GBK" w:eastAsia="方正小标宋_GBK" w:cs="方正小标宋_GBK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00"/>
    </w:pPr>
    <w:rPr>
      <w:sz w:val="32"/>
      <w:szCs w:val="32"/>
    </w:rPr>
  </w:style>
  <w:style w:type="table" w:customStyle="1" w:styleId="6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2023-03-26T07:44:00Z</dcterms:created>
  <dc:creator>郑晗月</dc:creator>
  <cp:lastModifiedBy>郑晗月</cp:lastModifiedBy>
  <dcterms:modified xsi:type="dcterms:W3CDTF">2023-03-26T07:45:26Z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4B24AEFE02F24D9AAE1B394839F5A90E</vt:lpwstr>
  </property>
</Properties>
</file>