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课程教学大纲应需具备的基本要素</w:t>
      </w:r>
    </w:p>
    <w:p>
      <w:pPr>
        <w:pStyle w:val="2"/>
        <w:spacing w:line="400" w:lineRule="exact"/>
        <w:rPr>
          <w:rFonts w:hint="default" w:ascii="Times New Roman" w:hAnsi="Times New Roman" w:eastAsia="宋体"/>
          <w:color w:val="auto"/>
          <w:kern w:val="2"/>
          <w:sz w:val="21"/>
          <w:szCs w:val="21"/>
        </w:rPr>
      </w:pPr>
      <w:r>
        <w:rPr>
          <w:rFonts w:ascii="Times New Roman" w:hAnsi="Times New Roman" w:eastAsia="宋体"/>
          <w:b/>
          <w:bCs/>
          <w:color w:val="auto"/>
          <w:kern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/>
          <w:b/>
          <w:bCs/>
          <w:color w:val="auto"/>
          <w:kern w:val="2"/>
          <w:sz w:val="21"/>
          <w:szCs w:val="21"/>
        </w:rPr>
        <w:t xml:space="preserve">   </w:t>
      </w:r>
      <w:r>
        <w:rPr>
          <w:rFonts w:hint="default" w:ascii="Times New Roman" w:hAnsi="Times New Roman" w:eastAsia="宋体"/>
          <w:color w:val="auto"/>
          <w:kern w:val="2"/>
          <w:sz w:val="21"/>
          <w:szCs w:val="21"/>
        </w:rPr>
        <w:t>1</w:t>
      </w:r>
      <w:r>
        <w:rPr>
          <w:rFonts w:ascii="Times New Roman" w:hAnsi="Times New Roman" w:eastAsia="宋体"/>
          <w:color w:val="auto"/>
          <w:kern w:val="2"/>
          <w:sz w:val="21"/>
          <w:szCs w:val="21"/>
        </w:rPr>
        <w:t>、课程基本信息（包括课程名称与代码、课程性质、学时学分、先修要求、教材和补充教材信息等）</w:t>
      </w:r>
    </w:p>
    <w:p>
      <w:pPr>
        <w:pStyle w:val="5"/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2、课程目标；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3、课程目标与毕业要求观测点的对应关系；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4、课程目标与教学内容和教学方法的对应关系；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5、课程目标与考核方式的对应关系；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6、各主要考核环节的评价标准；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7、课程思政元素融入设计；</w:t>
      </w:r>
    </w:p>
    <w:p>
      <w:pPr>
        <w:pStyle w:val="5"/>
        <w:spacing w:line="400" w:lineRule="exact"/>
        <w:ind w:firstLine="420" w:firstLineChars="200"/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、参考书目及学习资料等。</w:t>
      </w:r>
    </w:p>
    <w:p>
      <w:pPr>
        <w:pStyle w:val="5"/>
        <w:spacing w:line="240" w:lineRule="auto"/>
        <w:ind w:firstLine="361" w:firstLineChars="200"/>
        <w:rPr>
          <w:b/>
          <w:bCs/>
          <w:sz w:val="18"/>
          <w:szCs w:val="18"/>
        </w:rPr>
      </w:pPr>
    </w:p>
    <w:p>
      <w:pPr>
        <w:pStyle w:val="5"/>
        <w:spacing w:line="240" w:lineRule="auto"/>
        <w:ind w:firstLine="361" w:firstLineChars="200"/>
        <w:rPr>
          <w:b/>
          <w:bCs/>
          <w:sz w:val="18"/>
          <w:szCs w:val="18"/>
        </w:rPr>
      </w:pPr>
    </w:p>
    <w:p>
      <w:pPr>
        <w:snapToGrid w:val="0"/>
        <w:spacing w:line="360" w:lineRule="exact"/>
        <w:jc w:val="lef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附件1：常州大学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学院</w:t>
      </w:r>
      <w:r>
        <w:rPr>
          <w:rFonts w:hint="eastAsia" w:ascii="黑体" w:hAnsi="黑体" w:eastAsia="黑体" w:cs="黑体"/>
          <w:b/>
          <w:bCs/>
          <w:szCs w:val="24"/>
        </w:rPr>
        <w:t>理论课程教学大纲编制推荐模板</w:t>
      </w:r>
    </w:p>
    <w:p>
      <w:pPr>
        <w:spacing w:before="156" w:beforeLines="50" w:after="156" w:afterLines="50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ascii="楷体" w:hAnsi="楷体" w:cs="楷体"/>
          <w:b/>
          <w:kern w:val="0"/>
          <w:sz w:val="32"/>
          <w:szCs w:val="32"/>
        </w:rPr>
        <w:t>《</w:t>
      </w:r>
      <w:r>
        <w:rPr>
          <w:rFonts w:hint="eastAsia" w:eastAsia="黑体"/>
          <w:bCs/>
          <w:color w:val="000000"/>
          <w:sz w:val="30"/>
        </w:rPr>
        <w:t>课程名称</w:t>
      </w:r>
      <w:r>
        <w:rPr>
          <w:rFonts w:hint="eastAsia" w:ascii="楷体" w:hAnsi="楷体" w:cs="楷体"/>
          <w:b/>
          <w:kern w:val="0"/>
          <w:sz w:val="32"/>
          <w:szCs w:val="32"/>
        </w:rPr>
        <w:t>》</w:t>
      </w:r>
      <w:r>
        <w:rPr>
          <w:rFonts w:hint="eastAsia" w:eastAsia="黑体"/>
          <w:bCs/>
          <w:color w:val="000000"/>
          <w:sz w:val="30"/>
        </w:rPr>
        <w:t>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  <w:szCs w:val="24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系部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commentRangeStart w:id="0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  <w:commentRangeEnd w:id="0"/>
            <w:r>
              <w:rPr>
                <w:rFonts w:hint="eastAsia" w:ascii="宋体" w:hAnsi="宋体" w:eastAsia="宋体" w:cs="宋体"/>
              </w:rPr>
              <w:commentReference w:id="0"/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.课程目标的描述应体现对学生的能力要求，可衡量。可表述为“掌握……知识，具备……能力或素养。”或者“能够运用……知识，完成……。”</w:t>
      </w:r>
      <w:r>
        <w:rPr>
          <w:rFonts w:hint="eastAsia" w:eastAsia="宋体"/>
          <w:color w:val="FF0000"/>
          <w:sz w:val="21"/>
          <w:szCs w:val="24"/>
          <w:lang w:bidi="ar"/>
        </w:rPr>
        <w:t>。</w:t>
      </w:r>
    </w:p>
    <w:p>
      <w:pPr>
        <w:pStyle w:val="2"/>
        <w:spacing w:line="400" w:lineRule="exact"/>
        <w:rPr>
          <w:rFonts w:hint="default" w:ascii="Times New Roman" w:hAnsi="Times New Roman" w:eastAsia="宋体"/>
          <w:color w:val="FF0000"/>
          <w:kern w:val="2"/>
          <w:sz w:val="21"/>
          <w:szCs w:val="21"/>
        </w:rPr>
      </w:pPr>
      <w:r>
        <w:rPr>
          <w:rFonts w:hint="default" w:ascii="Times New Roman" w:hAnsi="Times New Roman" w:eastAsia="宋体"/>
          <w:color w:val="FF0000"/>
          <w:kern w:val="2"/>
          <w:sz w:val="21"/>
          <w:szCs w:val="21"/>
        </w:rPr>
        <w:t>4.</w:t>
      </w:r>
      <w:r>
        <w:rPr>
          <w:rFonts w:ascii="Times New Roman" w:hAnsi="Times New Roman" w:eastAsia="宋体"/>
          <w:color w:val="FF0000"/>
          <w:kern w:val="2"/>
          <w:sz w:val="21"/>
          <w:szCs w:val="21"/>
        </w:rPr>
        <w:t>课程目标能引导课程的教学与考核。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331"/>
        <w:gridCol w:w="4663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781" w:type="pc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5使用现代工具</w:t>
            </w:r>
          </w:p>
        </w:tc>
        <w:tc>
          <w:tcPr>
            <w:tcW w:w="2736" w:type="pct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5-2</w:t>
            </w:r>
            <w:r>
              <w:rPr>
                <w:rFonts w:hint="eastAsia" w:eastAsia="宋体"/>
                <w:sz w:val="21"/>
                <w:szCs w:val="21"/>
              </w:rPr>
              <w:t>能够针对</w:t>
            </w:r>
            <w:r>
              <w:rPr>
                <w:rFonts w:eastAsia="黑体" w:cs="黑体" w:asciiTheme="minorHAnsi" w:hAnsiTheme="minorHAnsi"/>
                <w:szCs w:val="24"/>
              </w:rPr>
              <w:t>×××</w:t>
            </w:r>
            <w:r>
              <w:rPr>
                <w:rFonts w:hint="eastAsia" w:eastAsia="宋体"/>
                <w:sz w:val="21"/>
                <w:szCs w:val="21"/>
              </w:rPr>
              <w:t>领域复杂工程问题开发或使用恰当的现代工具进行建模、仿真、预测，并能够理解其局限性。</w:t>
            </w: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b/>
              </w:rPr>
              <w:t>…</w:t>
            </w:r>
          </w:p>
        </w:tc>
        <w:tc>
          <w:tcPr>
            <w:tcW w:w="78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  <w:tc>
          <w:tcPr>
            <w:tcW w:w="1096" w:type="pct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1"/>
                <w:szCs w:val="21"/>
              </w:rPr>
            </w:pP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 xml:space="preserve">. 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color w:val="FF0000"/>
          <w:szCs w:val="21"/>
        </w:rPr>
        <w:t xml:space="preserve"> 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四、课程教学内容、要求及支撑的课程目标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绪论（支撑课程目标2）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pStyle w:val="4"/>
        <w:adjustRightInd w:val="0"/>
        <w:snapToGrid w:val="0"/>
        <w:spacing w:line="400" w:lineRule="exact"/>
        <w:ind w:leftChars="0" w:firstLine="199" w:firstLineChars="95"/>
        <w:rPr>
          <w:rFonts w:cs="Times New Roman"/>
        </w:rPr>
      </w:pPr>
      <w:r>
        <w:rPr>
          <w:rFonts w:eastAsia="宋体"/>
          <w:sz w:val="21"/>
        </w:rPr>
        <w:t>2</w:t>
      </w:r>
      <w:r>
        <w:rPr>
          <w:rFonts w:hint="eastAsia" w:eastAsia="宋体"/>
          <w:sz w:val="21"/>
        </w:rPr>
        <w:t>、</w:t>
      </w: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sz w:val="21"/>
          <w:szCs w:val="21"/>
        </w:rPr>
      </w:pPr>
      <w:r>
        <w:rPr>
          <w:rFonts w:hint="eastAsia" w:eastAsia="宋体"/>
          <w:sz w:val="21"/>
          <w:szCs w:val="21"/>
        </w:rPr>
        <w:t xml:space="preserve"> </w:t>
      </w:r>
      <w:r>
        <w:rPr>
          <w:rFonts w:eastAsia="宋体"/>
          <w:sz w:val="21"/>
          <w:szCs w:val="21"/>
        </w:rPr>
        <w:t xml:space="preserve">   </w:t>
      </w:r>
      <w:r>
        <w:rPr>
          <w:rFonts w:eastAsia="宋体"/>
          <w:b/>
          <w:bCs/>
          <w:sz w:val="21"/>
          <w:szCs w:val="21"/>
        </w:rPr>
        <w:t>要求</w:t>
      </w:r>
      <w:r>
        <w:rPr>
          <w:rFonts w:hint="eastAsia" w:eastAsia="宋体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第1章</w:t>
      </w:r>
      <w:r>
        <w:rPr>
          <w:rFonts w:hint="eastAsia" w:eastAsia="宋体"/>
          <w:b/>
          <w:bCs/>
          <w:sz w:val="21"/>
          <w:szCs w:val="21"/>
        </w:rPr>
        <w:t xml:space="preserve"> ***</w:t>
      </w:r>
      <w:r>
        <w:rPr>
          <w:rFonts w:eastAsia="宋体"/>
          <w:b/>
          <w:bCs/>
          <w:sz w:val="21"/>
          <w:szCs w:val="21"/>
        </w:rPr>
        <w:t>（支撑课程目标2）</w:t>
      </w:r>
    </w:p>
    <w:p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adjustRightInd w:val="0"/>
        <w:snapToGrid w:val="0"/>
        <w:spacing w:line="400" w:lineRule="exact"/>
        <w:ind w:firstLine="48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2</w:t>
      </w:r>
      <w:r>
        <w:rPr>
          <w:rFonts w:hint="eastAsia" w:eastAsia="宋体"/>
          <w:sz w:val="21"/>
          <w:szCs w:val="21"/>
        </w:rPr>
        <w:t>、</w:t>
      </w:r>
      <w:r>
        <w:rPr>
          <w:rFonts w:eastAsia="宋体"/>
          <w:sz w:val="21"/>
          <w:szCs w:val="21"/>
        </w:rPr>
        <w:t>.……</w:t>
      </w:r>
    </w:p>
    <w:p>
      <w:pPr>
        <w:pStyle w:val="4"/>
        <w:adjustRightInd w:val="0"/>
        <w:snapToGrid w:val="0"/>
        <w:spacing w:line="400" w:lineRule="exact"/>
        <w:ind w:leftChars="0" w:firstLine="199" w:firstLineChars="95"/>
        <w:rPr>
          <w:rFonts w:cs="Times New Roman"/>
        </w:rPr>
      </w:pPr>
      <w:r>
        <w:rPr>
          <w:rFonts w:eastAsia="宋体" w:cs="Times New Roman"/>
          <w:sz w:val="21"/>
        </w:rPr>
        <w:t>…</w:t>
      </w:r>
      <w:r>
        <w:rPr>
          <w:rFonts w:cs="Times New Roman"/>
        </w:rPr>
        <w:t>…</w:t>
      </w:r>
    </w:p>
    <w:p>
      <w:pPr>
        <w:pStyle w:val="21"/>
        <w:adjustRightInd w:val="0"/>
        <w:spacing w:line="400" w:lineRule="exact"/>
        <w:ind w:firstLine="422"/>
        <w:rPr>
          <w:rFonts w:eastAsia="宋体"/>
          <w:b/>
          <w:bCs/>
          <w:sz w:val="21"/>
          <w:szCs w:val="21"/>
        </w:rPr>
      </w:pPr>
      <w:r>
        <w:rPr>
          <w:rFonts w:eastAsia="宋体"/>
          <w:b/>
          <w:bCs/>
          <w:sz w:val="21"/>
          <w:szCs w:val="21"/>
        </w:rPr>
        <w:t>要求</w:t>
      </w:r>
      <w:r>
        <w:rPr>
          <w:rFonts w:hint="eastAsia" w:eastAsia="宋体"/>
          <w:b/>
          <w:bCs/>
          <w:sz w:val="21"/>
          <w:szCs w:val="21"/>
        </w:rPr>
        <w:t>学生</w:t>
      </w:r>
      <w:r>
        <w:rPr>
          <w:rFonts w:eastAsia="宋体"/>
          <w:b/>
          <w:bCs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……………………</w:t>
      </w:r>
    </w:p>
    <w:p>
      <w:pPr>
        <w:pStyle w:val="2"/>
        <w:rPr>
          <w:rFonts w:hint="default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ascii="宋体" w:hAnsi="宋体" w:eastAsia="宋体" w:cs="宋体"/>
          <w:b/>
          <w:bCs/>
          <w:color w:val="FF0000"/>
          <w:sz w:val="21"/>
          <w:szCs w:val="21"/>
        </w:rPr>
        <w:t>撰写说明：</w:t>
      </w:r>
    </w:p>
    <w:p>
      <w:pPr>
        <w:pStyle w:val="5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color w:val="FF0000"/>
        </w:rPr>
        <w:t>每一章的教学内容，可以支撑多个课程目标</w:t>
      </w:r>
      <w:r>
        <w:rPr>
          <w:rFonts w:hint="eastAsia"/>
          <w:color w:val="FF0000"/>
        </w:rPr>
        <w:t>；</w:t>
      </w:r>
    </w:p>
    <w:p>
      <w:pPr>
        <w:pStyle w:val="5"/>
        <w:numPr>
          <w:ilvl w:val="0"/>
          <w:numId w:val="1"/>
        </w:numPr>
        <w:adjustRightInd w:val="0"/>
        <w:snapToGrid w:val="0"/>
        <w:spacing w:line="400" w:lineRule="exact"/>
        <w:rPr>
          <w:color w:val="FF0000"/>
        </w:rPr>
      </w:pPr>
      <w:r>
        <w:rPr>
          <w:rFonts w:hint="eastAsia"/>
          <w:color w:val="FF0000"/>
        </w:rPr>
        <w:t>对学生的要求采用能力描述。如：能理解对压力容器进行类别划分的原因，以及介质危害性对压力容器的影响，并能从安全技术管理角度对压力容器进行正确的类别划分。</w:t>
      </w:r>
    </w:p>
    <w:p>
      <w:pPr>
        <w:spacing w:before="156" w:beforeLines="50" w:after="156" w:afterLines="50" w:line="400" w:lineRule="exact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五、本课程开设的实验项目</w:t>
      </w:r>
      <w:r>
        <w:rPr>
          <w:rFonts w:hint="eastAsia" w:eastAsia="宋体"/>
          <w:color w:val="FF0000"/>
          <w:kern w:val="0"/>
          <w:sz w:val="21"/>
          <w:szCs w:val="21"/>
        </w:rPr>
        <w:t>（如课程不含实验，该项删除）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188"/>
        <w:gridCol w:w="1018"/>
        <w:gridCol w:w="1493"/>
        <w:gridCol w:w="1174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8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实验项目名称</w:t>
            </w:r>
          </w:p>
        </w:tc>
        <w:tc>
          <w:tcPr>
            <w:tcW w:w="597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876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实验类型</w:t>
            </w:r>
          </w:p>
        </w:tc>
        <w:tc>
          <w:tcPr>
            <w:tcW w:w="689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实验要求</w:t>
            </w:r>
          </w:p>
        </w:tc>
        <w:tc>
          <w:tcPr>
            <w:tcW w:w="1067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支撑的课程目标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85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……</w:t>
            </w:r>
          </w:p>
        </w:tc>
        <w:tc>
          <w:tcPr>
            <w:tcW w:w="1284" w:type="pct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6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9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7" w:type="pct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widowControl/>
        <w:adjustRightInd w:val="0"/>
        <w:snapToGrid w:val="0"/>
        <w:spacing w:line="400" w:lineRule="exact"/>
        <w:jc w:val="left"/>
        <w:rPr>
          <w:rFonts w:eastAsia="宋体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说明：</w:t>
      </w:r>
    </w:p>
    <w:p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1.实验类型填演示性、验证性、综合性、设计性等；</w:t>
      </w:r>
    </w:p>
    <w:p>
      <w:pPr>
        <w:widowControl/>
        <w:adjustRightInd w:val="0"/>
        <w:snapToGrid w:val="0"/>
        <w:spacing w:line="400" w:lineRule="exact"/>
        <w:jc w:val="lef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2.</w:t>
      </w:r>
      <w:r>
        <w:rPr>
          <w:rFonts w:eastAsia="宋体"/>
          <w:color w:val="FF0000"/>
          <w:sz w:val="21"/>
          <w:szCs w:val="21"/>
        </w:rPr>
        <w:t>实验要求填必做、选做</w:t>
      </w:r>
      <w:r>
        <w:rPr>
          <w:rFonts w:hint="eastAsia" w:eastAsia="宋体"/>
          <w:color w:val="FF0000"/>
          <w:sz w:val="21"/>
          <w:szCs w:val="21"/>
        </w:rPr>
        <w:t>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六、教学内容、学时分配及主要教学方法</w:t>
      </w:r>
    </w:p>
    <w:tbl>
      <w:tblPr>
        <w:tblStyle w:val="11"/>
        <w:tblW w:w="4998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162"/>
        <w:gridCol w:w="1103"/>
        <w:gridCol w:w="1103"/>
        <w:gridCol w:w="1106"/>
        <w:gridCol w:w="25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855" w:type="pct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2625" w:type="pct"/>
            <w:gridSpan w:val="4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教学形式及学时分配</w:t>
            </w:r>
          </w:p>
        </w:tc>
        <w:tc>
          <w:tcPr>
            <w:tcW w:w="1518" w:type="pct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主要教学方法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855" w:type="pct"/>
            <w:vMerge w:val="continue"/>
          </w:tcPr>
          <w:p>
            <w:pPr>
              <w:spacing w:line="30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2" w:type="pct"/>
            <w:tcBorders>
              <w:top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理论授课</w:t>
            </w:r>
          </w:p>
        </w:tc>
        <w:tc>
          <w:tcPr>
            <w:tcW w:w="647" w:type="pc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ind w:firstLine="211" w:firstLineChars="100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实验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上机</w:t>
            </w:r>
          </w:p>
        </w:tc>
        <w:tc>
          <w:tcPr>
            <w:tcW w:w="649" w:type="pct"/>
            <w:tcBorders>
              <w:top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518" w:type="pct"/>
            <w:vMerge w:val="continue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绪论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第1章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jc w:val="center"/>
        </w:trPr>
        <w:tc>
          <w:tcPr>
            <w:tcW w:w="855" w:type="pct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第2章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***</w:t>
            </w:r>
          </w:p>
        </w:tc>
        <w:tc>
          <w:tcPr>
            <w:tcW w:w="682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pc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682" w:type="pct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jc w:val="center"/>
        </w:trPr>
        <w:tc>
          <w:tcPr>
            <w:tcW w:w="855" w:type="pct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682" w:type="pct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9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8" w:type="pct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主要教学方法包括讲授、专题研讨、研究型教学（基于问题、项目、案例等教学方法）等，教学方法应有助于课程目标的达成。</w:t>
      </w:r>
    </w:p>
    <w:p>
      <w:pPr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七、考核及成绩评定方式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510"/>
        <w:gridCol w:w="5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713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考核形式及权重</w:t>
            </w:r>
          </w:p>
        </w:tc>
        <w:tc>
          <w:tcPr>
            <w:tcW w:w="1510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</w:t>
            </w:r>
            <w:r>
              <w:rPr>
                <w:rFonts w:ascii="宋体" w:hAnsi="宋体" w:eastAsia="宋体" w:cs="宋体"/>
                <w:sz w:val="21"/>
                <w:szCs w:val="21"/>
              </w:rPr>
              <w:t>环节</w:t>
            </w:r>
          </w:p>
        </w:tc>
        <w:tc>
          <w:tcPr>
            <w:tcW w:w="5299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考核环节对应的课程目标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restart"/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过程性考核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满分1</w:t>
            </w:r>
            <w:r>
              <w:rPr>
                <w:rFonts w:ascii="宋体" w:hAnsi="宋体" w:eastAsia="宋体" w:cs="宋体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分，占   %）</w:t>
            </w:r>
          </w:p>
          <w:p>
            <w:pPr>
              <w:pStyle w:val="2"/>
              <w:rPr>
                <w:rFonts w:hint="default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出勤及互动等课堂表现</w:t>
            </w:r>
          </w:p>
        </w:tc>
        <w:tc>
          <w:tcPr>
            <w:tcW w:w="5299" w:type="dxa"/>
            <w:vAlign w:val="center"/>
          </w:tcPr>
          <w:p>
            <w:pPr>
              <w:pStyle w:val="5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不参与课程目标达成情况评价</w:t>
            </w:r>
            <w:r>
              <w:rPr>
                <w:rFonts w:hint="eastAsia" w:ascii="宋体" w:hAnsi="宋体" w:cs="宋体"/>
                <w:szCs w:val="21"/>
              </w:rPr>
              <w:t xml:space="preserve">（ </w:t>
            </w:r>
            <w:r>
              <w:rPr>
                <w:rFonts w:hint="eastAsia"/>
                <w:b/>
                <w:bCs/>
                <w:szCs w:val="21"/>
              </w:rPr>
              <w:t>*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作业一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作业二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课程目标2（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单元测试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分）、课程目标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期中测试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小论文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分）、课程目标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终结性考核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满分1</w:t>
            </w:r>
            <w:r>
              <w:rPr>
                <w:rFonts w:ascii="宋体" w:hAnsi="宋体" w:eastAsia="宋体" w:cs="宋体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分，占   %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510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期末考试或期末课程报告</w:t>
            </w:r>
          </w:p>
        </w:tc>
        <w:tc>
          <w:tcPr>
            <w:tcW w:w="5299" w:type="dxa"/>
            <w:vAlign w:val="center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分）、课程目标3（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分）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1.课程考核应采用过程性考核与终结性考核相结合方式，过程性考核权重不低于3</w:t>
      </w:r>
      <w:r>
        <w:rPr>
          <w:rFonts w:ascii="宋体" w:hAnsi="宋体" w:eastAsia="宋体" w:cs="宋体"/>
          <w:color w:val="FF0000"/>
          <w:kern w:val="0"/>
          <w:sz w:val="21"/>
          <w:szCs w:val="21"/>
        </w:rPr>
        <w:t>0%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；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过程性考核包括课堂表现、线上教学资源学习情况、作业、单元测试、期中测试、小论文、项目设计和作品、实验等。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一门课程的过程性考核形式一般不少于2种（不包括考勤、实验），次数不少于3次，考核形式与考核内容须有效支撑课程目标达成；</w:t>
      </w:r>
    </w:p>
    <w:p>
      <w:pPr>
        <w:pStyle w:val="2"/>
        <w:spacing w:line="400" w:lineRule="exact"/>
        <w:rPr>
          <w:rFonts w:hint="default"/>
          <w:color w:val="FF0000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3.针对课程目标确定考核环节，但出勤及互动等课堂表现情况可不支撑课程目标。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八、主要环节考核标准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除了有标准答案及评分标准的考核环节外，其它主要考核环节，如课堂表现、实验、大作业、小论文等考核环节需列出考核评价标准，某考核环节支撑多个课程目标时，应按其支撑的课程目标给出考核评价标准。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示例：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不支撑课程目标的考核环节评价标准（课堂表现考核评价标准）</w:t>
      </w:r>
    </w:p>
    <w:tbl>
      <w:tblPr>
        <w:tblStyle w:val="11"/>
        <w:tblW w:w="5089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1702"/>
        <w:gridCol w:w="1704"/>
        <w:gridCol w:w="1704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8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98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89</w:t>
            </w:r>
          </w:p>
        </w:tc>
        <w:tc>
          <w:tcPr>
            <w:tcW w:w="982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79</w:t>
            </w:r>
          </w:p>
        </w:tc>
        <w:tc>
          <w:tcPr>
            <w:tcW w:w="982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69</w:t>
            </w:r>
          </w:p>
        </w:tc>
        <w:tc>
          <w:tcPr>
            <w:tcW w:w="987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068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2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7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pStyle w:val="2"/>
        <w:rPr>
          <w:rFonts w:hint="default" w:ascii="宋体" w:hAnsi="宋体" w:eastAsia="宋体" w:cs="宋体"/>
          <w:color w:val="FF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2.支撑课程目标的考核环节评价标准（小论文考核评价标准）</w:t>
      </w:r>
    </w:p>
    <w:tbl>
      <w:tblPr>
        <w:tblStyle w:val="11"/>
        <w:tblW w:w="5089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579"/>
        <w:gridCol w:w="1528"/>
        <w:gridCol w:w="1428"/>
        <w:gridCol w:w="1433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9" w:type="pct"/>
            <w:vMerge w:val="restart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支撑的课程目标</w:t>
            </w:r>
          </w:p>
        </w:tc>
        <w:tc>
          <w:tcPr>
            <w:tcW w:w="4161" w:type="pct"/>
            <w:gridSpan w:val="5"/>
            <w:vAlign w:val="center"/>
          </w:tcPr>
          <w:p>
            <w:pPr>
              <w:pStyle w:val="6"/>
              <w:spacing w:line="400" w:lineRule="exact"/>
              <w:ind w:left="107" w:hanging="107" w:hangingChars="51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考核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9" w:type="pct"/>
            <w:vMerge w:val="continue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910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90-100</w:t>
            </w:r>
          </w:p>
        </w:tc>
        <w:tc>
          <w:tcPr>
            <w:tcW w:w="88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80-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89</w:t>
            </w:r>
          </w:p>
        </w:tc>
        <w:tc>
          <w:tcPr>
            <w:tcW w:w="823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70-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79</w:t>
            </w:r>
          </w:p>
        </w:tc>
        <w:tc>
          <w:tcPr>
            <w:tcW w:w="826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60-</w:t>
            </w:r>
            <w:r>
              <w:rPr>
                <w:rFonts w:hint="eastAsia" w:ascii="Times New Roman" w:hAnsi="Times New Roman"/>
                <w:color w:val="FF0000"/>
                <w:sz w:val="21"/>
                <w:szCs w:val="21"/>
              </w:rPr>
              <w:t>69</w:t>
            </w:r>
          </w:p>
        </w:tc>
        <w:tc>
          <w:tcPr>
            <w:tcW w:w="721" w:type="pct"/>
            <w:vAlign w:val="center"/>
          </w:tcPr>
          <w:p>
            <w:pPr>
              <w:pStyle w:val="6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60以下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9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910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0" w:hRule="atLeast"/>
        </w:trPr>
        <w:tc>
          <w:tcPr>
            <w:tcW w:w="839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  <w:lang w:bidi="ar"/>
              </w:rPr>
              <w:t>课程目标</w:t>
            </w:r>
            <w:r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910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1" w:type="pct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3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6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21" w:type="pct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color w:val="FF0000"/>
                <w:kern w:val="0"/>
                <w:sz w:val="21"/>
                <w:szCs w:val="21"/>
                <w:lang w:bidi="ar"/>
              </w:rPr>
            </w:pPr>
          </w:p>
        </w:tc>
      </w:tr>
    </w:tbl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九、课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p>
      <w:pPr>
        <w:pStyle w:val="5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需挖掘课程中蕴含的思政元素，至少在2个章节中融入课程思政元素。</w:t>
      </w:r>
    </w:p>
    <w:p>
      <w:pPr>
        <w:pStyle w:val="5"/>
        <w:adjustRightInd w:val="0"/>
        <w:snapToGrid w:val="0"/>
        <w:spacing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示例：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807"/>
        <w:gridCol w:w="4221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知识点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第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4</w:t>
            </w: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章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地基沉降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以“日本大阪关西国际机场”的无休止沉降为引，引导学生对土木工程及土木工程师的职业伦理展开思考，勉励学生作为未来土木工程行业从业者，建立正确价值观，增强伦理意识，学会思考辩识伦理问题，面对价值冲突和职业伦理困境时，做出负责任的价值判断和选择。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1"/>
              <w:ind w:firstLine="0" w:firstLineChars="0"/>
              <w:rPr>
                <w:rFonts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厚植</w:t>
            </w: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职业伦理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，提高学生法制意识和道德意识</w:t>
            </w:r>
          </w:p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专题有限元计算报告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课程报告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要求学生独立完成专题有限元计算分析并撰写课程报告，提高综合分析复杂工程问题能力，在分析撰写过程中克服畏难情绪，积极探索，无抄袭行为。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  <w:t>勇于探索</w:t>
            </w:r>
          </w:p>
          <w:p>
            <w:pPr>
              <w:pStyle w:val="2"/>
              <w:rPr>
                <w:rFonts w:hint="default"/>
              </w:rPr>
            </w:pPr>
            <w:r>
              <w:rPr>
                <w:rFonts w:ascii="宋体" w:hAnsi="宋体" w:eastAsia="宋体" w:cs="宋体"/>
                <w:color w:val="FF0000"/>
                <w:sz w:val="21"/>
                <w:szCs w:val="21"/>
              </w:rPr>
              <w:t>诚实守信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561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>
      <w:pPr>
        <w:pStyle w:val="21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</w:p>
    <w:p>
      <w:pPr>
        <w:pStyle w:val="21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十、</w:t>
      </w:r>
      <w:r>
        <w:rPr>
          <w:rFonts w:ascii="黑体" w:hAnsi="黑体" w:eastAsia="黑体"/>
          <w:bCs/>
          <w:color w:val="000000"/>
          <w:kern w:val="0"/>
          <w:szCs w:val="24"/>
        </w:rPr>
        <w:t>大纲说明</w:t>
      </w:r>
    </w:p>
    <w:p>
      <w:pPr>
        <w:pStyle w:val="21"/>
        <w:adjustRightInd w:val="0"/>
        <w:spacing w:line="400" w:lineRule="exact"/>
        <w:ind w:firstLine="0" w:firstLineChars="0"/>
        <w:rPr>
          <w:rFonts w:eastAsia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内容可以包括课程习题要求、考试要求及其它一些必要的说明，本课程若有对应的实验教学大纲、课程设计教学大纲、实习教学大纲，应在此说明“见……”。若无说明，则删去此标题。</w:t>
      </w:r>
    </w:p>
    <w:p>
      <w:pPr>
        <w:pStyle w:val="21"/>
        <w:spacing w:before="163"/>
        <w:ind w:firstLine="0" w:firstLineChars="0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十一</w:t>
      </w:r>
      <w:r>
        <w:rPr>
          <w:rFonts w:ascii="黑体" w:hAnsi="黑体" w:eastAsia="黑体"/>
          <w:bCs/>
          <w:color w:val="000000"/>
          <w:kern w:val="0"/>
          <w:szCs w:val="24"/>
        </w:rPr>
        <w:t>、参考书目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及学习资料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adjustRightInd w:val="0"/>
        <w:snapToGrid w:val="0"/>
        <w:spacing w:line="300" w:lineRule="auto"/>
        <w:rPr>
          <w:b/>
        </w:rPr>
      </w:pPr>
    </w:p>
    <w:p>
      <w:pPr>
        <w:spacing w:before="312" w:beforeLines="100"/>
        <w:rPr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user" w:date="2021-03-29T16:52:00Z" w:initials="u">
    <w:p w14:paraId="4F4D5EFD">
      <w:pPr>
        <w:pStyle w:val="5"/>
      </w:pPr>
      <w:r>
        <w:rPr>
          <w:rFonts w:hint="eastAsia"/>
        </w:rPr>
        <w:t>对应培养方案，如：通识教育必修课、专业基础必修课程等。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F4D5E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55630"/>
    <w:multiLevelType w:val="singleLevel"/>
    <w:tmpl w:val="054556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4340232"/>
    <w:multiLevelType w:val="singleLevel"/>
    <w:tmpl w:val="3434023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A5"/>
    <w:rsid w:val="00005910"/>
    <w:rsid w:val="001111C4"/>
    <w:rsid w:val="00162014"/>
    <w:rsid w:val="00200FE2"/>
    <w:rsid w:val="002558DD"/>
    <w:rsid w:val="00294CB9"/>
    <w:rsid w:val="002C6894"/>
    <w:rsid w:val="003222A8"/>
    <w:rsid w:val="00454E54"/>
    <w:rsid w:val="00472188"/>
    <w:rsid w:val="005116A5"/>
    <w:rsid w:val="00550421"/>
    <w:rsid w:val="005A4162"/>
    <w:rsid w:val="005D77D9"/>
    <w:rsid w:val="00632364"/>
    <w:rsid w:val="006E0BEB"/>
    <w:rsid w:val="00720714"/>
    <w:rsid w:val="00723FD4"/>
    <w:rsid w:val="007405B6"/>
    <w:rsid w:val="007C4F5D"/>
    <w:rsid w:val="007F06D7"/>
    <w:rsid w:val="0085508C"/>
    <w:rsid w:val="008650ED"/>
    <w:rsid w:val="008C07D5"/>
    <w:rsid w:val="00934257"/>
    <w:rsid w:val="00AA0132"/>
    <w:rsid w:val="00BB6578"/>
    <w:rsid w:val="00BE21CB"/>
    <w:rsid w:val="00CA5E86"/>
    <w:rsid w:val="00CE5E07"/>
    <w:rsid w:val="00DD003A"/>
    <w:rsid w:val="00DE3A7C"/>
    <w:rsid w:val="00E35BC8"/>
    <w:rsid w:val="00E94FE1"/>
    <w:rsid w:val="00EE65EF"/>
    <w:rsid w:val="00F430F2"/>
    <w:rsid w:val="00F90F63"/>
    <w:rsid w:val="06502EF9"/>
    <w:rsid w:val="07F4684C"/>
    <w:rsid w:val="14940D31"/>
    <w:rsid w:val="35A74AE7"/>
    <w:rsid w:val="4B770E79"/>
    <w:rsid w:val="566627A6"/>
    <w:rsid w:val="6368056F"/>
    <w:rsid w:val="6D174400"/>
    <w:rsid w:val="79CB669C"/>
    <w:rsid w:val="7BBA405A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393</Words>
  <Characters>2243</Characters>
  <Lines>18</Lines>
  <Paragraphs>5</Paragraphs>
  <TotalTime>27</TotalTime>
  <ScaleCrop>false</ScaleCrop>
  <LinksUpToDate>false</LinksUpToDate>
  <CharactersWithSpaces>2631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2021-09-16T13:15:00Z</dcterms:created>
  <dc:creator>zhou</dc:creator>
  <cp:lastModifiedBy>大脸猫大脸猫爱吃鱼</cp:lastModifiedBy>
  <dcterms:modified xsi:type="dcterms:W3CDTF">2021-11-19T01:06:16Z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ABEF6876C6B54571A9EB19937F507F70</vt:lpwstr>
  </property>
</Properties>
</file>